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698C" w14:textId="77777777" w:rsidR="00DD61F9" w:rsidRDefault="003265E0">
      <w:pPr>
        <w:jc w:val="center"/>
        <w:rPr>
          <w:b/>
          <w:i/>
        </w:rPr>
      </w:pPr>
      <w:hyperlink r:id="rId7">
        <w:r>
          <w:rPr>
            <w:b/>
            <w:i/>
            <w:color w:val="1155CC"/>
            <w:u w:val="single"/>
          </w:rPr>
          <w:t>Division for Early Childhood (DEC) Recommended Practices (RPs)</w:t>
        </w:r>
      </w:hyperlink>
    </w:p>
    <w:p w14:paraId="2D3C1BDE" w14:textId="5CA9A2AA" w:rsidR="00DD61F9" w:rsidRDefault="003265E0">
      <w:pPr>
        <w:jc w:val="center"/>
        <w:rPr>
          <w:b/>
          <w:i/>
        </w:rPr>
      </w:pPr>
      <w:r>
        <w:rPr>
          <w:b/>
          <w:i/>
        </w:rPr>
        <w:t xml:space="preserve">What </w:t>
      </w:r>
      <w:r>
        <w:rPr>
          <w:b/>
          <w:i/>
        </w:rPr>
        <w:t xml:space="preserve">Family Capacity-Building Practices </w:t>
      </w:r>
      <w:r w:rsidR="00823F3B">
        <w:rPr>
          <w:b/>
          <w:i/>
        </w:rPr>
        <w:t>L</w:t>
      </w:r>
      <w:r>
        <w:rPr>
          <w:b/>
          <w:i/>
        </w:rPr>
        <w:t xml:space="preserve">ook </w:t>
      </w:r>
      <w:r w:rsidR="00823F3B">
        <w:rPr>
          <w:b/>
          <w:i/>
        </w:rPr>
        <w:t>L</w:t>
      </w:r>
      <w:r>
        <w:rPr>
          <w:b/>
          <w:i/>
        </w:rPr>
        <w:t>ike for Service Coordinators</w:t>
      </w:r>
    </w:p>
    <w:p w14:paraId="7605DEB9" w14:textId="4F801078" w:rsidR="00DD61F9" w:rsidRDefault="003265E0">
      <w:pPr>
        <w:spacing w:after="0" w:line="240" w:lineRule="auto"/>
      </w:pPr>
      <w:r>
        <w:t>Family capacity-building practices help us think about the participatory opportunities and experiences provided to families to strengthen their existing knowledge and skills and</w:t>
      </w:r>
      <w:r>
        <w:t xml:space="preserve"> promote the development of new abilities that enhance parenting self-efficacy beliefs and practices.  This table includes examples that align with these practices.</w:t>
      </w:r>
      <w:r>
        <w:rPr>
          <w:b/>
          <w:i/>
        </w:rPr>
        <w:t xml:space="preserve"> </w:t>
      </w:r>
      <w:r>
        <w:t xml:space="preserve"> What direct or indirect ways do you engage in DEC RPs  around family capacity-building pra</w:t>
      </w:r>
      <w:r>
        <w:t>ctices? What are your strengths?  What challenges do you face?</w:t>
      </w:r>
    </w:p>
    <w:p w14:paraId="7F049DC9" w14:textId="77777777" w:rsidR="00823F3B" w:rsidRDefault="00823F3B">
      <w:pPr>
        <w:spacing w:after="0" w:line="240" w:lineRule="auto"/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06"/>
        <w:gridCol w:w="4506"/>
        <w:gridCol w:w="4504"/>
      </w:tblGrid>
      <w:tr w:rsidR="00DD61F9" w14:paraId="58592AF2" w14:textId="77777777" w:rsidTr="00823F3B">
        <w:tc>
          <w:tcPr>
            <w:tcW w:w="1667" w:type="pct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5F8F" w14:textId="77777777" w:rsidR="00DD61F9" w:rsidRPr="00823F3B" w:rsidRDefault="003265E0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823F3B">
              <w:rPr>
                <w:b/>
                <w:color w:val="FFFFFF" w:themeColor="background1"/>
              </w:rPr>
              <w:t>Family Capacity-Building Practices</w:t>
            </w:r>
          </w:p>
        </w:tc>
        <w:tc>
          <w:tcPr>
            <w:tcW w:w="1667" w:type="pct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D0A2" w14:textId="77777777" w:rsidR="00DD61F9" w:rsidRPr="00823F3B" w:rsidRDefault="003265E0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823F3B">
              <w:rPr>
                <w:b/>
                <w:color w:val="FFFFFF" w:themeColor="background1"/>
              </w:rPr>
              <w:t>Example</w:t>
            </w:r>
          </w:p>
        </w:tc>
        <w:tc>
          <w:tcPr>
            <w:tcW w:w="1667" w:type="pct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DB9E" w14:textId="77777777" w:rsidR="00823F3B" w:rsidRDefault="003265E0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823F3B">
              <w:rPr>
                <w:b/>
                <w:color w:val="FFFFFF" w:themeColor="background1"/>
              </w:rPr>
              <w:t xml:space="preserve">My Examples, Strengths or Challenges </w:t>
            </w:r>
          </w:p>
          <w:p w14:paraId="5624AEF7" w14:textId="316D9C53" w:rsidR="00DD61F9" w:rsidRPr="00823F3B" w:rsidRDefault="003265E0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823F3B">
              <w:rPr>
                <w:b/>
                <w:color w:val="FFFFFF" w:themeColor="background1"/>
              </w:rPr>
              <w:t>with this RP:</w:t>
            </w:r>
          </w:p>
        </w:tc>
      </w:tr>
      <w:tr w:rsidR="00DD61F9" w14:paraId="1C563FDF" w14:textId="77777777" w:rsidTr="00823F3B">
        <w:trPr>
          <w:trHeight w:val="2898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1715C" w14:textId="77777777" w:rsidR="00DD61F9" w:rsidRPr="00823F3B" w:rsidRDefault="003265E0" w:rsidP="00823F3B">
            <w:pPr>
              <w:shd w:val="clear" w:color="auto" w:fill="FFFFFF"/>
              <w:spacing w:after="0"/>
              <w:rPr>
                <w:b/>
                <w:color w:val="1F497D" w:themeColor="text2"/>
              </w:rPr>
            </w:pPr>
            <w:r w:rsidRPr="00823F3B">
              <w:rPr>
                <w:b/>
                <w:color w:val="1F497D" w:themeColor="text2"/>
              </w:rPr>
              <w:t>F5</w:t>
            </w:r>
          </w:p>
          <w:p w14:paraId="50F6C265" w14:textId="77777777" w:rsidR="00DD61F9" w:rsidRPr="00823F3B" w:rsidRDefault="003265E0" w:rsidP="00823F3B">
            <w:pPr>
              <w:shd w:val="clear" w:color="auto" w:fill="FFFFFF"/>
              <w:spacing w:after="0"/>
              <w:rPr>
                <w:b/>
                <w:color w:val="1F497D" w:themeColor="text2"/>
              </w:rPr>
            </w:pPr>
            <w:r w:rsidRPr="00823F3B">
              <w:rPr>
                <w:b/>
                <w:color w:val="1F497D" w:themeColor="text2"/>
              </w:rPr>
              <w:t>Practitioners support family functioning, promote family confidence and competence, and strengt</w:t>
            </w:r>
            <w:r w:rsidRPr="00823F3B">
              <w:rPr>
                <w:b/>
                <w:color w:val="1F497D" w:themeColor="text2"/>
              </w:rPr>
              <w:t>hen family-child relationships by acting in ways that recognize and build on family strengths and capacities.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C6CCB" w14:textId="793BFEA2" w:rsidR="00DD61F9" w:rsidRDefault="00823F3B" w:rsidP="00823F3B">
            <w:pPr>
              <w:shd w:val="clear" w:color="auto" w:fill="FFFFFF"/>
              <w:spacing w:after="0"/>
              <w:rPr>
                <w:i/>
              </w:rPr>
            </w:pPr>
            <w:r>
              <w:rPr>
                <w:i/>
              </w:rPr>
              <w:t>SCs</w:t>
            </w:r>
            <w:r w:rsidR="003265E0">
              <w:rPr>
                <w:i/>
              </w:rPr>
              <w:t xml:space="preserve"> partner</w:t>
            </w:r>
            <w:r w:rsidR="003265E0">
              <w:rPr>
                <w:i/>
              </w:rPr>
              <w:t xml:space="preserve"> with families as they navigate the EI system and fill</w:t>
            </w:r>
            <w:r w:rsidR="003265E0">
              <w:rPr>
                <w:i/>
              </w:rPr>
              <w:t xml:space="preserve"> in knowledge gaps</w:t>
            </w:r>
            <w:r>
              <w:rPr>
                <w:i/>
              </w:rPr>
              <w:t xml:space="preserve">, </w:t>
            </w:r>
            <w:r w:rsidR="003265E0">
              <w:rPr>
                <w:i/>
              </w:rPr>
              <w:t xml:space="preserve">so </w:t>
            </w:r>
            <w:r>
              <w:rPr>
                <w:i/>
              </w:rPr>
              <w:t>families</w:t>
            </w:r>
            <w:r w:rsidR="003265E0">
              <w:rPr>
                <w:i/>
              </w:rPr>
              <w:t xml:space="preserve"> are confident and capable</w:t>
            </w:r>
            <w:r w:rsidR="003265E0">
              <w:rPr>
                <w:i/>
              </w:rPr>
              <w:t xml:space="preserve"> of navigating other systems of support when they leave EI.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61E5" w14:textId="77777777" w:rsidR="00DD61F9" w:rsidRDefault="00DD61F9">
            <w:pPr>
              <w:shd w:val="clear" w:color="auto" w:fill="FFFFFF"/>
              <w:spacing w:after="0"/>
              <w:rPr>
                <w:i/>
              </w:rPr>
            </w:pPr>
          </w:p>
        </w:tc>
      </w:tr>
      <w:tr w:rsidR="00DD61F9" w14:paraId="35140E8F" w14:textId="77777777" w:rsidTr="00823F3B">
        <w:trPr>
          <w:trHeight w:val="2898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D11E6" w14:textId="77777777" w:rsidR="00DD61F9" w:rsidRPr="00823F3B" w:rsidRDefault="003265E0" w:rsidP="00823F3B">
            <w:pPr>
              <w:shd w:val="clear" w:color="auto" w:fill="FFFFFF"/>
              <w:spacing w:after="0"/>
              <w:rPr>
                <w:b/>
                <w:color w:val="1F497D" w:themeColor="text2"/>
              </w:rPr>
            </w:pPr>
            <w:r w:rsidRPr="00823F3B">
              <w:rPr>
                <w:b/>
                <w:color w:val="1F497D" w:themeColor="text2"/>
              </w:rPr>
              <w:t xml:space="preserve">F6 </w:t>
            </w:r>
          </w:p>
          <w:p w14:paraId="43046DC3" w14:textId="77777777" w:rsidR="00DD61F9" w:rsidRPr="00823F3B" w:rsidRDefault="003265E0" w:rsidP="00823F3B">
            <w:pPr>
              <w:shd w:val="clear" w:color="auto" w:fill="FFFFFF"/>
              <w:spacing w:after="0"/>
              <w:rPr>
                <w:b/>
                <w:color w:val="1F497D" w:themeColor="text2"/>
              </w:rPr>
            </w:pPr>
            <w:r w:rsidRPr="00823F3B">
              <w:rPr>
                <w:b/>
                <w:color w:val="1F497D" w:themeColor="text2"/>
              </w:rPr>
              <w:t>Practitioners engage the family in opportunities that support and strengthen parenting knowledge and skills and parenting competence and confidence in ways that are flexible, individualized,</w:t>
            </w:r>
            <w:r w:rsidRPr="00823F3B">
              <w:rPr>
                <w:b/>
                <w:color w:val="1F497D" w:themeColor="text2"/>
              </w:rPr>
              <w:t xml:space="preserve"> and tailored to the family’s preferences.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F232" w14:textId="77777777" w:rsidR="00823F3B" w:rsidRDefault="00823F3B" w:rsidP="00823F3B">
            <w:pPr>
              <w:shd w:val="clear" w:color="auto" w:fill="FFFFFF"/>
              <w:spacing w:after="0"/>
              <w:rPr>
                <w:i/>
                <w:color w:val="444444"/>
              </w:rPr>
            </w:pPr>
            <w:r>
              <w:rPr>
                <w:i/>
              </w:rPr>
              <w:t>SCs</w:t>
            </w:r>
            <w:r w:rsidR="003265E0">
              <w:rPr>
                <w:i/>
              </w:rPr>
              <w:t xml:space="preserve"> gather</w:t>
            </w:r>
            <w:r w:rsidR="003265E0">
              <w:rPr>
                <w:i/>
              </w:rPr>
              <w:t xml:space="preserve"> information about </w:t>
            </w:r>
            <w:r w:rsidR="003265E0">
              <w:rPr>
                <w:i/>
              </w:rPr>
              <w:t xml:space="preserve">parent education and training activities </w:t>
            </w:r>
            <w:r>
              <w:rPr>
                <w:i/>
              </w:rPr>
              <w:t xml:space="preserve">available </w:t>
            </w:r>
            <w:r w:rsidR="003265E0">
              <w:rPr>
                <w:i/>
              </w:rPr>
              <w:t>in their community and help</w:t>
            </w:r>
            <w:r w:rsidR="003265E0">
              <w:rPr>
                <w:i/>
              </w:rPr>
              <w:t xml:space="preserve"> the family access desired activities. (Retrieved from: </w:t>
            </w:r>
            <w:hyperlink r:id="rId8" w:history="1">
              <w:r w:rsidR="003265E0" w:rsidRPr="00823F3B">
                <w:rPr>
                  <w:rStyle w:val="Hyperlink"/>
                  <w:i/>
                </w:rPr>
                <w:t>DEC RPs with Examples</w:t>
              </w:r>
            </w:hyperlink>
            <w:r w:rsidR="003265E0">
              <w:rPr>
                <w:i/>
                <w:color w:val="444444"/>
              </w:rPr>
              <w:t xml:space="preserve">) </w:t>
            </w:r>
          </w:p>
          <w:p w14:paraId="3C0118C0" w14:textId="77777777" w:rsidR="00823F3B" w:rsidRDefault="00823F3B" w:rsidP="00823F3B">
            <w:pPr>
              <w:shd w:val="clear" w:color="auto" w:fill="FFFFFF"/>
              <w:spacing w:after="0"/>
              <w:rPr>
                <w:i/>
              </w:rPr>
            </w:pPr>
          </w:p>
          <w:p w14:paraId="1BF39713" w14:textId="47F27862" w:rsidR="00DD61F9" w:rsidRPr="00823F3B" w:rsidRDefault="003265E0" w:rsidP="00823F3B">
            <w:pPr>
              <w:shd w:val="clear" w:color="auto" w:fill="FFFFFF"/>
              <w:spacing w:after="0"/>
              <w:rPr>
                <w:i/>
              </w:rPr>
            </w:pPr>
            <w:r w:rsidRPr="00823F3B">
              <w:rPr>
                <w:i/>
              </w:rPr>
              <w:t xml:space="preserve">Note that </w:t>
            </w:r>
            <w:r w:rsidR="00823F3B" w:rsidRPr="00823F3B">
              <w:rPr>
                <w:i/>
              </w:rPr>
              <w:t xml:space="preserve">SCs </w:t>
            </w:r>
            <w:r w:rsidRPr="00823F3B">
              <w:rPr>
                <w:i/>
              </w:rPr>
              <w:t>do not make choices for the family but rather coach them to make decisions according to the</w:t>
            </w:r>
            <w:r w:rsidR="00823F3B" w:rsidRPr="00823F3B">
              <w:rPr>
                <w:i/>
              </w:rPr>
              <w:t xml:space="preserve"> families'</w:t>
            </w:r>
            <w:r w:rsidRPr="00823F3B">
              <w:rPr>
                <w:i/>
              </w:rPr>
              <w:t xml:space="preserve"> strengt</w:t>
            </w:r>
            <w:bookmarkStart w:id="0" w:name="_GoBack"/>
            <w:bookmarkEnd w:id="0"/>
            <w:r w:rsidRPr="00823F3B">
              <w:rPr>
                <w:i/>
              </w:rPr>
              <w:t>hs, needs and preferences.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8772" w14:textId="77777777" w:rsidR="00DD61F9" w:rsidRDefault="00DD61F9">
            <w:pPr>
              <w:shd w:val="clear" w:color="auto" w:fill="FFFFFF"/>
              <w:spacing w:after="0"/>
              <w:rPr>
                <w:i/>
              </w:rPr>
            </w:pPr>
          </w:p>
        </w:tc>
      </w:tr>
    </w:tbl>
    <w:p w14:paraId="5D7F5E63" w14:textId="72D22919" w:rsidR="00DD61F9" w:rsidRDefault="00DD61F9" w:rsidP="00823F3B">
      <w:pPr>
        <w:shd w:val="clear" w:color="auto" w:fill="FFFFFF"/>
        <w:spacing w:after="0" w:line="256" w:lineRule="auto"/>
      </w:pPr>
    </w:p>
    <w:p w14:paraId="037FA004" w14:textId="522A7DB6" w:rsidR="00823F3B" w:rsidRPr="00823F3B" w:rsidRDefault="00823F3B" w:rsidP="00823F3B">
      <w:pPr>
        <w:tabs>
          <w:tab w:val="left" w:pos="2460"/>
        </w:tabs>
      </w:pPr>
      <w:r>
        <w:tab/>
      </w:r>
    </w:p>
    <w:sectPr w:rsidR="00823F3B" w:rsidRPr="00823F3B" w:rsidSect="00823F3B">
      <w:footerReference w:type="default" r:id="rId9"/>
      <w:pgSz w:w="15840" w:h="12240" w:orient="landscape"/>
      <w:pgMar w:top="1152" w:right="1152" w:bottom="72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6B3E" w14:textId="77777777" w:rsidR="003265E0" w:rsidRDefault="003265E0">
      <w:pPr>
        <w:spacing w:after="0" w:line="240" w:lineRule="auto"/>
      </w:pPr>
      <w:r>
        <w:separator/>
      </w:r>
    </w:p>
  </w:endnote>
  <w:endnote w:type="continuationSeparator" w:id="0">
    <w:p w14:paraId="7624EA0B" w14:textId="77777777" w:rsidR="003265E0" w:rsidRDefault="0032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848B" w14:textId="77777777" w:rsidR="00DD61F9" w:rsidRDefault="003265E0">
    <w:pPr>
      <w:spacing w:after="0" w:line="240" w:lineRule="auto"/>
    </w:pPr>
    <w:r>
      <w:rPr>
        <w:i/>
        <w:sz w:val="20"/>
        <w:szCs w:val="20"/>
      </w:rPr>
      <w:t>Developed by Maria Kastanis &amp; Sarah Nichols at the Early Intervention Training Program at the University of Illinois in part for the EDIS March 2019 Understanding Service Coordination Essentials KIT Series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C138" w14:textId="77777777" w:rsidR="003265E0" w:rsidRDefault="003265E0">
      <w:pPr>
        <w:spacing w:after="0" w:line="240" w:lineRule="auto"/>
      </w:pPr>
      <w:r>
        <w:separator/>
      </w:r>
    </w:p>
  </w:footnote>
  <w:footnote w:type="continuationSeparator" w:id="0">
    <w:p w14:paraId="1A31B4BF" w14:textId="77777777" w:rsidR="003265E0" w:rsidRDefault="0032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81A"/>
    <w:multiLevelType w:val="hybridMultilevel"/>
    <w:tmpl w:val="6B0C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F9"/>
    <w:rsid w:val="003265E0"/>
    <w:rsid w:val="00823F3B"/>
    <w:rsid w:val="00DD61F9"/>
    <w:rsid w:val="00E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C3DF"/>
  <w15:docId w15:val="{5F9E61B0-B1ED-46DE-81F0-C9294932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23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F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3B"/>
  </w:style>
  <w:style w:type="paragraph" w:styleId="Footer">
    <w:name w:val="footer"/>
    <w:basedOn w:val="Normal"/>
    <w:link w:val="FooterChar"/>
    <w:uiPriority w:val="99"/>
    <w:unhideWhenUsed/>
    <w:rsid w:val="008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isionearlychildhood.egnyte.com/dl/NRAghl7r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c-sped.org/dec-recommended-pract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Jones, Alissa Leigh</cp:lastModifiedBy>
  <cp:revision>2</cp:revision>
  <dcterms:created xsi:type="dcterms:W3CDTF">2019-12-09T17:24:00Z</dcterms:created>
  <dcterms:modified xsi:type="dcterms:W3CDTF">2019-12-09T17:24:00Z</dcterms:modified>
</cp:coreProperties>
</file>