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5EDC" w14:textId="77777777" w:rsidR="006147C2" w:rsidRPr="0012707A" w:rsidRDefault="006147C2" w:rsidP="00EC7DC6">
      <w:pPr>
        <w:shd w:val="clear" w:color="auto" w:fill="FFFFFF"/>
        <w:spacing w:after="0" w:line="240" w:lineRule="auto"/>
        <w:jc w:val="both"/>
        <w:outlineLvl w:val="0"/>
        <w:rPr>
          <w:rFonts w:asciiTheme="majorHAnsi" w:eastAsia="Times New Roman" w:hAnsiTheme="majorHAnsi" w:cstheme="majorHAnsi"/>
          <w:b/>
          <w:bCs/>
          <w:color w:val="0455A4"/>
          <w:kern w:val="36"/>
        </w:rPr>
      </w:pPr>
      <w:r w:rsidRPr="0012707A">
        <w:rPr>
          <w:rFonts w:asciiTheme="majorHAnsi" w:eastAsia="Times New Roman" w:hAnsiTheme="majorHAnsi" w:cstheme="majorHAnsi"/>
          <w:b/>
          <w:bCs/>
          <w:color w:val="0455A4"/>
          <w:kern w:val="36"/>
        </w:rPr>
        <w:t>6.1.1 Determine Minimum Insurance Requirements for Vendors</w:t>
      </w:r>
    </w:p>
    <w:p w14:paraId="1294E0FC" w14:textId="56F9C8D0" w:rsidR="006147C2" w:rsidRPr="0012707A" w:rsidRDefault="006147C2" w:rsidP="006E1AD6">
      <w:pPr>
        <w:shd w:val="clear" w:color="auto" w:fill="FFFFFF"/>
        <w:spacing w:before="240" w:after="0" w:line="240" w:lineRule="auto"/>
        <w:jc w:val="both"/>
        <w:outlineLvl w:val="1"/>
        <w:rPr>
          <w:rFonts w:asciiTheme="majorHAnsi" w:eastAsia="Times New Roman" w:hAnsiTheme="majorHAnsi" w:cstheme="majorHAnsi"/>
          <w:b/>
          <w:bCs/>
          <w:color w:val="13294B"/>
        </w:rPr>
      </w:pPr>
      <w:r w:rsidRPr="0012707A">
        <w:rPr>
          <w:rFonts w:asciiTheme="majorHAnsi" w:eastAsia="Times New Roman" w:hAnsiTheme="majorHAnsi" w:cstheme="majorHAnsi"/>
          <w:b/>
          <w:bCs/>
          <w:color w:val="13294B"/>
        </w:rPr>
        <w:t>Policy Statement</w:t>
      </w:r>
    </w:p>
    <w:p w14:paraId="7487ECD3" w14:textId="1BCC4281" w:rsidR="006147C2" w:rsidRPr="0012707A" w:rsidRDefault="006147C2" w:rsidP="00EC7DC6">
      <w:pPr>
        <w:shd w:val="clear" w:color="auto" w:fill="FFFFFF"/>
        <w:spacing w:after="0" w:line="240" w:lineRule="auto"/>
        <w:jc w:val="both"/>
        <w:rPr>
          <w:rFonts w:asciiTheme="majorHAnsi" w:eastAsia="Times New Roman" w:hAnsiTheme="majorHAnsi" w:cstheme="majorHAnsi"/>
          <w:color w:val="000000"/>
        </w:rPr>
      </w:pPr>
      <w:r w:rsidRPr="0012707A">
        <w:rPr>
          <w:rFonts w:asciiTheme="majorHAnsi" w:eastAsia="Times New Roman" w:hAnsiTheme="majorHAnsi" w:cstheme="majorHAnsi"/>
          <w:color w:val="000000"/>
        </w:rPr>
        <w:t>Units that contract with vendors must be certain those vendors meet the University of Illinois System's insurance requirements where possible and financially feasible. Vendors, including contractors, consultants, affiliates, or service providers must show evidence of satisfactory insurance coverage and, when indicated, must furnish the System certificates of insurance.</w:t>
      </w:r>
    </w:p>
    <w:p w14:paraId="1D954D38" w14:textId="77777777" w:rsidR="006147C2" w:rsidRPr="0012707A" w:rsidRDefault="006147C2" w:rsidP="006E1AD6">
      <w:pPr>
        <w:shd w:val="clear" w:color="auto" w:fill="FFFFFF"/>
        <w:spacing w:before="240" w:after="0" w:line="240" w:lineRule="auto"/>
        <w:jc w:val="both"/>
        <w:outlineLvl w:val="1"/>
        <w:rPr>
          <w:rFonts w:asciiTheme="majorHAnsi" w:eastAsia="Times New Roman" w:hAnsiTheme="majorHAnsi" w:cstheme="majorHAnsi"/>
          <w:b/>
          <w:bCs/>
          <w:color w:val="13294B"/>
        </w:rPr>
      </w:pPr>
      <w:r w:rsidRPr="0012707A">
        <w:rPr>
          <w:rFonts w:asciiTheme="majorHAnsi" w:eastAsia="Times New Roman" w:hAnsiTheme="majorHAnsi" w:cstheme="majorHAnsi"/>
          <w:b/>
          <w:bCs/>
          <w:color w:val="13294B"/>
        </w:rPr>
        <w:t>Procedure</w:t>
      </w:r>
    </w:p>
    <w:p w14:paraId="03C02CD9" w14:textId="14D2D79C" w:rsidR="006147C2" w:rsidRPr="0012707A" w:rsidRDefault="006147C2" w:rsidP="006E1AD6">
      <w:pPr>
        <w:shd w:val="clear" w:color="auto" w:fill="FFFFFF"/>
        <w:spacing w:after="240" w:line="240" w:lineRule="auto"/>
        <w:jc w:val="both"/>
        <w:rPr>
          <w:rFonts w:asciiTheme="majorHAnsi" w:eastAsia="Times New Roman" w:hAnsiTheme="majorHAnsi" w:cstheme="majorHAnsi"/>
          <w:color w:val="000000"/>
        </w:rPr>
      </w:pPr>
      <w:r w:rsidRPr="0012707A">
        <w:rPr>
          <w:rFonts w:asciiTheme="majorHAnsi" w:eastAsia="Times New Roman" w:hAnsiTheme="majorHAnsi" w:cstheme="majorHAnsi"/>
          <w:color w:val="000000"/>
        </w:rPr>
        <w:t>Determine which Tier level the contract falls into according to the matrix below. Utilize the corresponding insurance requirement attached at the bottom of the matrix.</w:t>
      </w:r>
    </w:p>
    <w:tbl>
      <w:tblPr>
        <w:tblW w:w="5000" w:type="pct"/>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Description w:val="Risk Management Insurance Matrix"/>
      </w:tblPr>
      <w:tblGrid>
        <w:gridCol w:w="3312"/>
        <w:gridCol w:w="3127"/>
        <w:gridCol w:w="2905"/>
      </w:tblGrid>
      <w:tr w:rsidR="006147C2" w:rsidRPr="0012707A" w14:paraId="59240C04" w14:textId="77777777" w:rsidTr="006E1AD6">
        <w:trPr>
          <w:tblHeader/>
        </w:trPr>
        <w:tc>
          <w:tcPr>
            <w:tcW w:w="3312" w:type="dxa"/>
            <w:tcBorders>
              <w:top w:val="single" w:sz="6" w:space="0" w:color="999999"/>
              <w:left w:val="single" w:sz="6" w:space="0" w:color="999999"/>
              <w:bottom w:val="single" w:sz="6" w:space="0" w:color="999999"/>
              <w:right w:val="single" w:sz="6" w:space="0" w:color="999999"/>
            </w:tcBorders>
            <w:shd w:val="clear" w:color="auto" w:fill="E8E9EA"/>
            <w:tcMar>
              <w:top w:w="45" w:type="dxa"/>
              <w:left w:w="105" w:type="dxa"/>
              <w:bottom w:w="45" w:type="dxa"/>
              <w:right w:w="105" w:type="dxa"/>
            </w:tcMar>
            <w:hideMark/>
          </w:tcPr>
          <w:p w14:paraId="7E852997" w14:textId="77777777" w:rsidR="006147C2" w:rsidRPr="0012707A" w:rsidRDefault="006147C2" w:rsidP="00EC7DC6">
            <w:pPr>
              <w:spacing w:after="0" w:line="240" w:lineRule="auto"/>
              <w:rPr>
                <w:rFonts w:asciiTheme="majorHAnsi" w:eastAsia="Times New Roman" w:hAnsiTheme="majorHAnsi" w:cstheme="majorHAnsi"/>
                <w:b/>
                <w:bCs/>
                <w:color w:val="000000"/>
              </w:rPr>
            </w:pPr>
            <w:r w:rsidRPr="0012707A">
              <w:rPr>
                <w:rFonts w:asciiTheme="majorHAnsi" w:eastAsia="Times New Roman" w:hAnsiTheme="majorHAnsi" w:cstheme="majorHAnsi"/>
                <w:b/>
                <w:bCs/>
                <w:color w:val="000000"/>
              </w:rPr>
              <w:t>Tier 1 - High Risk</w:t>
            </w:r>
          </w:p>
        </w:tc>
        <w:tc>
          <w:tcPr>
            <w:tcW w:w="3127" w:type="dxa"/>
            <w:tcBorders>
              <w:top w:val="single" w:sz="6" w:space="0" w:color="999999"/>
              <w:left w:val="single" w:sz="6" w:space="0" w:color="999999"/>
              <w:bottom w:val="single" w:sz="6" w:space="0" w:color="999999"/>
              <w:right w:val="single" w:sz="6" w:space="0" w:color="999999"/>
            </w:tcBorders>
            <w:shd w:val="clear" w:color="auto" w:fill="E8E9EA"/>
            <w:tcMar>
              <w:top w:w="45" w:type="dxa"/>
              <w:left w:w="105" w:type="dxa"/>
              <w:bottom w:w="45" w:type="dxa"/>
              <w:right w:w="105" w:type="dxa"/>
            </w:tcMar>
            <w:hideMark/>
          </w:tcPr>
          <w:p w14:paraId="55997EDD" w14:textId="77777777" w:rsidR="006147C2" w:rsidRPr="0012707A" w:rsidRDefault="006147C2" w:rsidP="00EC7DC6">
            <w:pPr>
              <w:spacing w:after="0" w:line="240" w:lineRule="auto"/>
              <w:rPr>
                <w:rFonts w:asciiTheme="majorHAnsi" w:eastAsia="Times New Roman" w:hAnsiTheme="majorHAnsi" w:cstheme="majorHAnsi"/>
                <w:b/>
                <w:bCs/>
                <w:color w:val="000000"/>
              </w:rPr>
            </w:pPr>
            <w:r w:rsidRPr="0012707A">
              <w:rPr>
                <w:rFonts w:asciiTheme="majorHAnsi" w:eastAsia="Times New Roman" w:hAnsiTheme="majorHAnsi" w:cstheme="majorHAnsi"/>
                <w:b/>
                <w:bCs/>
                <w:color w:val="000000"/>
              </w:rPr>
              <w:t>Tier 2 - Medium Risk</w:t>
            </w:r>
          </w:p>
        </w:tc>
        <w:tc>
          <w:tcPr>
            <w:tcW w:w="2905" w:type="dxa"/>
            <w:tcBorders>
              <w:top w:val="single" w:sz="6" w:space="0" w:color="999999"/>
              <w:left w:val="single" w:sz="6" w:space="0" w:color="999999"/>
              <w:bottom w:val="single" w:sz="6" w:space="0" w:color="999999"/>
              <w:right w:val="single" w:sz="6" w:space="0" w:color="999999"/>
            </w:tcBorders>
            <w:shd w:val="clear" w:color="auto" w:fill="E8E9EA"/>
            <w:tcMar>
              <w:top w:w="45" w:type="dxa"/>
              <w:left w:w="105" w:type="dxa"/>
              <w:bottom w:w="45" w:type="dxa"/>
              <w:right w:w="105" w:type="dxa"/>
            </w:tcMar>
            <w:hideMark/>
          </w:tcPr>
          <w:p w14:paraId="7CA4CB9C" w14:textId="77777777" w:rsidR="006147C2" w:rsidRPr="0012707A" w:rsidRDefault="006147C2" w:rsidP="00EC7DC6">
            <w:pPr>
              <w:spacing w:after="0" w:line="240" w:lineRule="auto"/>
              <w:rPr>
                <w:rFonts w:asciiTheme="majorHAnsi" w:eastAsia="Times New Roman" w:hAnsiTheme="majorHAnsi" w:cstheme="majorHAnsi"/>
                <w:b/>
                <w:bCs/>
                <w:color w:val="000000"/>
              </w:rPr>
            </w:pPr>
            <w:r w:rsidRPr="0012707A">
              <w:rPr>
                <w:rFonts w:asciiTheme="majorHAnsi" w:eastAsia="Times New Roman" w:hAnsiTheme="majorHAnsi" w:cstheme="majorHAnsi"/>
                <w:b/>
                <w:bCs/>
                <w:color w:val="000000"/>
              </w:rPr>
              <w:t>Tier 3 - Low Risk</w:t>
            </w:r>
          </w:p>
        </w:tc>
      </w:tr>
      <w:tr w:rsidR="006147C2" w:rsidRPr="0012707A" w14:paraId="10DF43C9" w14:textId="77777777" w:rsidTr="006E1AD6">
        <w:tc>
          <w:tcPr>
            <w:tcW w:w="3312"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56EDE878" w14:textId="77777777"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b/>
                <w:bCs/>
                <w:color w:val="000000"/>
              </w:rPr>
              <w:t xml:space="preserve">Mutually Executed Contract with </w:t>
            </w:r>
            <w:r w:rsidR="00B95F31" w:rsidRPr="0012707A">
              <w:rPr>
                <w:rFonts w:asciiTheme="majorHAnsi" w:eastAsia="Times New Roman" w:hAnsiTheme="majorHAnsi" w:cstheme="majorHAnsi"/>
                <w:b/>
                <w:bCs/>
                <w:color w:val="000000"/>
              </w:rPr>
              <w:t xml:space="preserve">Contract for </w:t>
            </w:r>
            <w:r w:rsidRPr="0012707A">
              <w:rPr>
                <w:rFonts w:asciiTheme="majorHAnsi" w:eastAsia="Times New Roman" w:hAnsiTheme="majorHAnsi" w:cstheme="majorHAnsi"/>
                <w:b/>
                <w:bCs/>
                <w:color w:val="000000"/>
              </w:rPr>
              <w:t xml:space="preserve">Procurement of </w:t>
            </w:r>
            <w:r w:rsidR="00B95F31" w:rsidRPr="0012707A">
              <w:rPr>
                <w:rFonts w:asciiTheme="majorHAnsi" w:eastAsia="Times New Roman" w:hAnsiTheme="majorHAnsi" w:cstheme="majorHAnsi"/>
                <w:b/>
                <w:bCs/>
                <w:color w:val="000000"/>
              </w:rPr>
              <w:t xml:space="preserve">Supplies and </w:t>
            </w:r>
            <w:r w:rsidRPr="0012707A">
              <w:rPr>
                <w:rFonts w:asciiTheme="majorHAnsi" w:eastAsia="Times New Roman" w:hAnsiTheme="majorHAnsi" w:cstheme="majorHAnsi"/>
                <w:b/>
                <w:bCs/>
                <w:color w:val="000000"/>
              </w:rPr>
              <w:t xml:space="preserve">Services Template Article 6 Insurance Language for Tier 1 </w:t>
            </w:r>
            <w:proofErr w:type="gramStart"/>
            <w:r w:rsidRPr="0012707A">
              <w:rPr>
                <w:rFonts w:asciiTheme="majorHAnsi" w:eastAsia="Times New Roman" w:hAnsiTheme="majorHAnsi" w:cstheme="majorHAnsi"/>
                <w:b/>
                <w:bCs/>
                <w:color w:val="000000"/>
              </w:rPr>
              <w:t>Required;</w:t>
            </w:r>
            <w:proofErr w:type="gramEnd"/>
          </w:p>
          <w:p w14:paraId="2878143C" w14:textId="77777777" w:rsidR="00CE57E5" w:rsidRPr="0012707A" w:rsidRDefault="006147C2" w:rsidP="00EC7DC6">
            <w:pPr>
              <w:spacing w:after="0" w:line="240" w:lineRule="auto"/>
              <w:rPr>
                <w:rFonts w:asciiTheme="majorHAnsi" w:eastAsia="Times New Roman" w:hAnsiTheme="majorHAnsi" w:cstheme="majorHAnsi"/>
                <w:b/>
                <w:bCs/>
                <w:color w:val="000000"/>
              </w:rPr>
            </w:pPr>
            <w:r w:rsidRPr="0012707A">
              <w:rPr>
                <w:rFonts w:asciiTheme="majorHAnsi" w:eastAsia="Times New Roman" w:hAnsiTheme="majorHAnsi" w:cstheme="majorHAnsi"/>
                <w:b/>
                <w:bCs/>
                <w:color w:val="000000"/>
              </w:rPr>
              <w:t>Prior to Contract Execution:</w:t>
            </w:r>
          </w:p>
          <w:p w14:paraId="1547AF56" w14:textId="77777777" w:rsidR="00CE57E5" w:rsidRPr="0012707A" w:rsidRDefault="006147C2" w:rsidP="00EC7DC6">
            <w:pPr>
              <w:spacing w:after="0" w:line="240" w:lineRule="auto"/>
              <w:rPr>
                <w:rFonts w:asciiTheme="majorHAnsi" w:eastAsia="Times New Roman" w:hAnsiTheme="majorHAnsi" w:cstheme="majorHAnsi"/>
                <w:b/>
                <w:bCs/>
                <w:color w:val="000000"/>
              </w:rPr>
            </w:pPr>
            <w:r w:rsidRPr="0012707A">
              <w:rPr>
                <w:rFonts w:asciiTheme="majorHAnsi" w:eastAsia="Times New Roman" w:hAnsiTheme="majorHAnsi" w:cstheme="majorHAnsi"/>
                <w:b/>
                <w:bCs/>
                <w:color w:val="000000"/>
              </w:rPr>
              <w:t>1) obtain actual Certificate of Insurance; and</w:t>
            </w:r>
          </w:p>
          <w:p w14:paraId="7FFC1676" w14:textId="17E2AD63"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b/>
                <w:bCs/>
                <w:color w:val="000000"/>
              </w:rPr>
              <w:t xml:space="preserve">2) “Additional Insured” language for Tier 1 must appear on Certificate of Insurance </w:t>
            </w:r>
            <w:proofErr w:type="gramStart"/>
            <w:r w:rsidRPr="0012707A">
              <w:rPr>
                <w:rFonts w:asciiTheme="majorHAnsi" w:eastAsia="Times New Roman" w:hAnsiTheme="majorHAnsi" w:cstheme="majorHAnsi"/>
                <w:b/>
                <w:bCs/>
                <w:color w:val="000000"/>
              </w:rPr>
              <w:t xml:space="preserve">for </w:t>
            </w:r>
            <w:r w:rsidR="00E77834" w:rsidRPr="0012707A">
              <w:rPr>
                <w:rFonts w:asciiTheme="majorHAnsi" w:eastAsia="Times New Roman" w:hAnsiTheme="majorHAnsi" w:cstheme="majorHAnsi"/>
                <w:b/>
                <w:bCs/>
                <w:color w:val="000000"/>
              </w:rPr>
              <w:t xml:space="preserve"> all</w:t>
            </w:r>
            <w:proofErr w:type="gramEnd"/>
            <w:r w:rsidR="00E77834" w:rsidRPr="0012707A">
              <w:rPr>
                <w:rFonts w:asciiTheme="majorHAnsi" w:eastAsia="Times New Roman" w:hAnsiTheme="majorHAnsi" w:cstheme="majorHAnsi"/>
                <w:b/>
                <w:bCs/>
                <w:color w:val="000000"/>
              </w:rPr>
              <w:t xml:space="preserve"> liability policies except Workers’ Compensation, Automobile, and Professional.</w:t>
            </w:r>
          </w:p>
        </w:tc>
        <w:tc>
          <w:tcPr>
            <w:tcW w:w="3127"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04F6A907" w14:textId="77777777"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b/>
                <w:bCs/>
                <w:color w:val="000000"/>
              </w:rPr>
              <w:t xml:space="preserve">Mutually Executed Contract with </w:t>
            </w:r>
            <w:r w:rsidR="00B95F31" w:rsidRPr="0012707A">
              <w:rPr>
                <w:rFonts w:asciiTheme="majorHAnsi" w:eastAsia="Times New Roman" w:hAnsiTheme="majorHAnsi" w:cstheme="majorHAnsi"/>
                <w:b/>
                <w:bCs/>
                <w:color w:val="000000"/>
              </w:rPr>
              <w:t xml:space="preserve">Contract for </w:t>
            </w:r>
            <w:r w:rsidRPr="0012707A">
              <w:rPr>
                <w:rFonts w:asciiTheme="majorHAnsi" w:eastAsia="Times New Roman" w:hAnsiTheme="majorHAnsi" w:cstheme="majorHAnsi"/>
                <w:b/>
                <w:bCs/>
                <w:color w:val="000000"/>
              </w:rPr>
              <w:t xml:space="preserve">Procurement of </w:t>
            </w:r>
            <w:r w:rsidR="00B95F31" w:rsidRPr="0012707A">
              <w:rPr>
                <w:rFonts w:asciiTheme="majorHAnsi" w:eastAsia="Times New Roman" w:hAnsiTheme="majorHAnsi" w:cstheme="majorHAnsi"/>
                <w:b/>
                <w:bCs/>
                <w:color w:val="000000"/>
              </w:rPr>
              <w:t xml:space="preserve">Supplies and </w:t>
            </w:r>
            <w:r w:rsidRPr="0012707A">
              <w:rPr>
                <w:rFonts w:asciiTheme="majorHAnsi" w:eastAsia="Times New Roman" w:hAnsiTheme="majorHAnsi" w:cstheme="majorHAnsi"/>
                <w:b/>
                <w:bCs/>
                <w:color w:val="000000"/>
              </w:rPr>
              <w:t>Services Template Article 6 Insurance Language for Tier 2 Required</w:t>
            </w:r>
          </w:p>
        </w:tc>
        <w:tc>
          <w:tcPr>
            <w:tcW w:w="2905"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05BF2446" w14:textId="77777777"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b/>
                <w:bCs/>
                <w:color w:val="000000"/>
              </w:rPr>
              <w:t>Insurance language in the Purchase Order Terms &amp; Conditions is sufficient</w:t>
            </w:r>
          </w:p>
        </w:tc>
      </w:tr>
      <w:tr w:rsidR="006147C2" w:rsidRPr="0012707A" w14:paraId="30E1FFAC" w14:textId="77777777" w:rsidTr="006E1AD6">
        <w:tc>
          <w:tcPr>
            <w:tcW w:w="3312"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61249B81" w14:textId="77777777" w:rsidR="00640F9E" w:rsidRPr="0012707A" w:rsidRDefault="00640F9E" w:rsidP="001C48B6">
            <w:pPr>
              <w:numPr>
                <w:ilvl w:val="0"/>
                <w:numId w:val="1"/>
              </w:numPr>
              <w:shd w:val="clear" w:color="auto" w:fill="FFFFFF"/>
              <w:tabs>
                <w:tab w:val="clear" w:pos="720"/>
              </w:tabs>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Services involving the sharing or transfer of personal data or sensitive data with outside entities (including data subject to European Union General Data Protection Regulation (EU GDPR), HIPAA, FERPA, etc.) (Consult Risk Management)</w:t>
            </w:r>
          </w:p>
          <w:p w14:paraId="60382BE4" w14:textId="6E225BF5" w:rsidR="006147C2" w:rsidRPr="0012707A" w:rsidRDefault="006147C2" w:rsidP="001C48B6">
            <w:pPr>
              <w:numPr>
                <w:ilvl w:val="0"/>
                <w:numId w:val="1"/>
              </w:numPr>
              <w:shd w:val="clear" w:color="auto" w:fill="FFFFFF"/>
              <w:tabs>
                <w:tab w:val="clear" w:pos="720"/>
              </w:tabs>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 xml:space="preserve">Construction contracts including the new construction, alteration, renovation, or maintenance of existing </w:t>
            </w:r>
            <w:r w:rsidR="00600023" w:rsidRPr="0012707A">
              <w:rPr>
                <w:rFonts w:asciiTheme="majorHAnsi" w:eastAsia="Times New Roman" w:hAnsiTheme="majorHAnsi" w:cstheme="majorHAnsi"/>
                <w:color w:val="000000"/>
              </w:rPr>
              <w:t>university</w:t>
            </w:r>
            <w:r w:rsidRPr="0012707A">
              <w:rPr>
                <w:rFonts w:asciiTheme="majorHAnsi" w:eastAsia="Times New Roman" w:hAnsiTheme="majorHAnsi" w:cstheme="majorHAnsi"/>
                <w:color w:val="000000"/>
              </w:rPr>
              <w:t xml:space="preserve"> buildings or structures; alteration, renovation</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or maintenance of highways, </w:t>
            </w:r>
            <w:r w:rsidRPr="0012707A">
              <w:rPr>
                <w:rFonts w:asciiTheme="majorHAnsi" w:eastAsia="Times New Roman" w:hAnsiTheme="majorHAnsi" w:cstheme="majorHAnsi"/>
                <w:color w:val="000000"/>
              </w:rPr>
              <w:lastRenderedPageBreak/>
              <w:t xml:space="preserve">roads, bridges, water lines, sewer lines, oil lines, and/or gas </w:t>
            </w:r>
            <w:proofErr w:type="gramStart"/>
            <w:r w:rsidRPr="0012707A">
              <w:rPr>
                <w:rFonts w:asciiTheme="majorHAnsi" w:eastAsia="Times New Roman" w:hAnsiTheme="majorHAnsi" w:cstheme="majorHAnsi"/>
                <w:color w:val="000000"/>
              </w:rPr>
              <w:t>lines</w:t>
            </w:r>
            <w:proofErr w:type="gramEnd"/>
          </w:p>
          <w:p w14:paraId="65F8BAAB" w14:textId="372EB5E9" w:rsidR="006147C2" w:rsidRPr="0012707A" w:rsidRDefault="006147C2" w:rsidP="001C48B6">
            <w:pPr>
              <w:numPr>
                <w:ilvl w:val="0"/>
                <w:numId w:val="1"/>
              </w:numPr>
              <w:shd w:val="clear" w:color="auto" w:fill="FFFFFF"/>
              <w:tabs>
                <w:tab w:val="clear" w:pos="720"/>
              </w:tabs>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 xml:space="preserve">Services where Contractor brings equipment requiring cranes, rigging, scaffolding, and/or erection equipment on </w:t>
            </w:r>
            <w:r w:rsidR="00600023" w:rsidRPr="0012707A">
              <w:rPr>
                <w:rFonts w:asciiTheme="majorHAnsi" w:eastAsia="Times New Roman" w:hAnsiTheme="majorHAnsi" w:cstheme="majorHAnsi"/>
                <w:color w:val="000000"/>
              </w:rPr>
              <w:t xml:space="preserve">university </w:t>
            </w:r>
            <w:proofErr w:type="gramStart"/>
            <w:r w:rsidRPr="0012707A">
              <w:rPr>
                <w:rFonts w:asciiTheme="majorHAnsi" w:eastAsia="Times New Roman" w:hAnsiTheme="majorHAnsi" w:cstheme="majorHAnsi"/>
                <w:color w:val="000000"/>
              </w:rPr>
              <w:t>premises</w:t>
            </w:r>
            <w:proofErr w:type="gramEnd"/>
          </w:p>
          <w:p w14:paraId="121E2118" w14:textId="77777777" w:rsidR="006147C2" w:rsidRPr="0012707A" w:rsidRDefault="006147C2" w:rsidP="001C48B6">
            <w:pPr>
              <w:numPr>
                <w:ilvl w:val="0"/>
                <w:numId w:val="1"/>
              </w:numPr>
              <w:shd w:val="clear" w:color="auto" w:fill="FFFFFF"/>
              <w:tabs>
                <w:tab w:val="clear" w:pos="720"/>
              </w:tabs>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All contractors providing construction services are required to have Coverage B (Employers’ Liability) limits of $</w:t>
            </w:r>
            <w:proofErr w:type="gramStart"/>
            <w:r w:rsidRPr="0012707A">
              <w:rPr>
                <w:rFonts w:asciiTheme="majorHAnsi" w:eastAsia="Times New Roman" w:hAnsiTheme="majorHAnsi" w:cstheme="majorHAnsi"/>
                <w:color w:val="000000"/>
              </w:rPr>
              <w:t>1,000,000</w:t>
            </w:r>
            <w:proofErr w:type="gramEnd"/>
            <w:r w:rsidRPr="0012707A">
              <w:rPr>
                <w:rFonts w:asciiTheme="majorHAnsi" w:eastAsia="Times New Roman" w:hAnsiTheme="majorHAnsi" w:cstheme="majorHAnsi"/>
                <w:color w:val="000000"/>
              </w:rPr>
              <w:t xml:space="preserve"> each disease; $1,000,000 each employee; $1,000,000 policy limit.</w:t>
            </w:r>
          </w:p>
          <w:p w14:paraId="28E84992" w14:textId="2E3D5E09" w:rsidR="006147C2" w:rsidRPr="0012707A" w:rsidRDefault="006147C2" w:rsidP="006E1AD6">
            <w:pPr>
              <w:spacing w:before="240"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b/>
                <w:bCs/>
                <w:color w:val="000000"/>
              </w:rPr>
              <w:t>NOTE</w:t>
            </w:r>
            <w:r w:rsidRPr="0012707A">
              <w:rPr>
                <w:rFonts w:asciiTheme="majorHAnsi" w:eastAsia="Times New Roman" w:hAnsiTheme="majorHAnsi" w:cstheme="majorHAnsi"/>
                <w:color w:val="000000"/>
              </w:rPr>
              <w:t xml:space="preserve">: </w:t>
            </w:r>
            <w:proofErr w:type="gramStart"/>
            <w:r w:rsidRPr="0012707A">
              <w:rPr>
                <w:rFonts w:asciiTheme="majorHAnsi" w:eastAsia="Times New Roman" w:hAnsiTheme="majorHAnsi" w:cstheme="majorHAnsi"/>
                <w:color w:val="000000"/>
              </w:rPr>
              <w:t>With regard to</w:t>
            </w:r>
            <w:proofErr w:type="gramEnd"/>
            <w:r w:rsidRPr="0012707A">
              <w:rPr>
                <w:rFonts w:asciiTheme="majorHAnsi" w:eastAsia="Times New Roman" w:hAnsiTheme="majorHAnsi" w:cstheme="majorHAnsi"/>
                <w:color w:val="000000"/>
              </w:rPr>
              <w:t xml:space="preserve"> these activities, the Certificate must show a project name, building number, and/or Purchase</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Contract Number.)</w:t>
            </w:r>
          </w:p>
        </w:tc>
        <w:tc>
          <w:tcPr>
            <w:tcW w:w="3127"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725B3430" w14:textId="16057D18" w:rsidR="006147C2" w:rsidRPr="0012707A" w:rsidRDefault="006147C2" w:rsidP="00EC7DC6">
            <w:pPr>
              <w:numPr>
                <w:ilvl w:val="0"/>
                <w:numId w:val="2"/>
              </w:numPr>
              <w:shd w:val="clear" w:color="auto" w:fill="FFFFFF"/>
              <w:tabs>
                <w:tab w:val="clear" w:pos="720"/>
              </w:tabs>
              <w:spacing w:after="0" w:line="240" w:lineRule="auto"/>
              <w:ind w:left="505"/>
              <w:rPr>
                <w:rFonts w:asciiTheme="majorHAnsi" w:eastAsia="Times New Roman" w:hAnsiTheme="majorHAnsi" w:cstheme="majorHAnsi"/>
                <w:color w:val="000000"/>
              </w:rPr>
            </w:pPr>
            <w:r w:rsidRPr="0012707A">
              <w:rPr>
                <w:rFonts w:asciiTheme="majorHAnsi" w:eastAsia="Times New Roman" w:hAnsiTheme="majorHAnsi" w:cstheme="majorHAnsi"/>
                <w:color w:val="000000"/>
              </w:rPr>
              <w:lastRenderedPageBreak/>
              <w:t>Accounting services</w:t>
            </w:r>
            <w:r w:rsidR="00600023"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Professional/Errors &amp; Omissions liability coverage.</w:t>
            </w:r>
          </w:p>
          <w:p w14:paraId="2FEE0096" w14:textId="6B9CC633" w:rsidR="006147C2" w:rsidRPr="0012707A" w:rsidRDefault="006147C2" w:rsidP="00EC7DC6">
            <w:pPr>
              <w:numPr>
                <w:ilvl w:val="0"/>
                <w:numId w:val="2"/>
              </w:numPr>
              <w:shd w:val="clear" w:color="auto" w:fill="FFFFFF"/>
              <w:tabs>
                <w:tab w:val="clear" w:pos="720"/>
              </w:tabs>
              <w:spacing w:after="0" w:line="240" w:lineRule="auto"/>
              <w:ind w:left="505"/>
              <w:rPr>
                <w:rFonts w:asciiTheme="majorHAnsi" w:eastAsia="Times New Roman" w:hAnsiTheme="majorHAnsi" w:cstheme="majorHAnsi"/>
                <w:color w:val="000000"/>
              </w:rPr>
            </w:pPr>
            <w:r w:rsidRPr="0012707A">
              <w:rPr>
                <w:rFonts w:asciiTheme="majorHAnsi" w:eastAsia="Times New Roman" w:hAnsiTheme="majorHAnsi" w:cstheme="majorHAnsi"/>
                <w:color w:val="000000"/>
              </w:rPr>
              <w:t>Financial Services, such as investment banking, treasury, or insurance services</w:t>
            </w:r>
            <w:r w:rsidR="00600023"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Professional</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 xml:space="preserve">Errors &amp; Omissions liability </w:t>
            </w:r>
            <w:proofErr w:type="gramStart"/>
            <w:r w:rsidRPr="0012707A">
              <w:rPr>
                <w:rFonts w:asciiTheme="majorHAnsi" w:eastAsia="Times New Roman" w:hAnsiTheme="majorHAnsi" w:cstheme="majorHAnsi"/>
                <w:color w:val="000000"/>
              </w:rPr>
              <w:t>coverage;</w:t>
            </w:r>
            <w:proofErr w:type="gramEnd"/>
          </w:p>
          <w:p w14:paraId="58994ABD" w14:textId="786C937A" w:rsidR="006147C2" w:rsidRPr="0012707A" w:rsidRDefault="006147C2" w:rsidP="00EC7DC6">
            <w:pPr>
              <w:numPr>
                <w:ilvl w:val="0"/>
                <w:numId w:val="2"/>
              </w:numPr>
              <w:shd w:val="clear" w:color="auto" w:fill="FFFFFF"/>
              <w:tabs>
                <w:tab w:val="clear" w:pos="720"/>
              </w:tabs>
              <w:spacing w:after="0" w:line="240" w:lineRule="auto"/>
              <w:ind w:left="505"/>
              <w:rPr>
                <w:rFonts w:asciiTheme="majorHAnsi" w:eastAsia="Times New Roman" w:hAnsiTheme="majorHAnsi" w:cstheme="majorHAnsi"/>
                <w:color w:val="000000"/>
              </w:rPr>
            </w:pPr>
            <w:r w:rsidRPr="0012707A">
              <w:rPr>
                <w:rFonts w:asciiTheme="majorHAnsi" w:eastAsia="Times New Roman" w:hAnsiTheme="majorHAnsi" w:cstheme="majorHAnsi"/>
                <w:color w:val="000000"/>
              </w:rPr>
              <w:t>Legal services</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Professional</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Errors &amp; Omissions liability coverage.</w:t>
            </w:r>
          </w:p>
          <w:p w14:paraId="0BD5231C" w14:textId="7862A062" w:rsidR="006147C2" w:rsidRPr="0012707A" w:rsidRDefault="006147C2" w:rsidP="00EC7DC6">
            <w:pPr>
              <w:numPr>
                <w:ilvl w:val="0"/>
                <w:numId w:val="2"/>
              </w:numPr>
              <w:shd w:val="clear" w:color="auto" w:fill="FFFFFF"/>
              <w:tabs>
                <w:tab w:val="clear" w:pos="720"/>
              </w:tabs>
              <w:spacing w:after="0" w:line="240" w:lineRule="auto"/>
              <w:ind w:left="505"/>
              <w:rPr>
                <w:rFonts w:asciiTheme="majorHAnsi" w:eastAsia="Times New Roman" w:hAnsiTheme="majorHAnsi" w:cstheme="majorHAnsi"/>
                <w:color w:val="000000"/>
              </w:rPr>
            </w:pPr>
            <w:r w:rsidRPr="0012707A">
              <w:rPr>
                <w:rFonts w:asciiTheme="majorHAnsi" w:eastAsia="Times New Roman" w:hAnsiTheme="majorHAnsi" w:cstheme="majorHAnsi"/>
                <w:color w:val="000000"/>
              </w:rPr>
              <w:t>Consulting services</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Professional</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Errors &amp; Omissions liability coverage.</w:t>
            </w:r>
          </w:p>
          <w:p w14:paraId="0AB0929C" w14:textId="46539D1E" w:rsidR="006147C2" w:rsidRPr="0012707A" w:rsidRDefault="006147C2" w:rsidP="00EC7DC6">
            <w:pPr>
              <w:numPr>
                <w:ilvl w:val="0"/>
                <w:numId w:val="2"/>
              </w:numPr>
              <w:shd w:val="clear" w:color="auto" w:fill="FFFFFF"/>
              <w:tabs>
                <w:tab w:val="clear" w:pos="720"/>
              </w:tabs>
              <w:spacing w:after="0" w:line="240" w:lineRule="auto"/>
              <w:ind w:left="505"/>
              <w:rPr>
                <w:rFonts w:asciiTheme="majorHAnsi" w:eastAsia="Times New Roman" w:hAnsiTheme="majorHAnsi" w:cstheme="majorHAnsi"/>
                <w:color w:val="000000"/>
              </w:rPr>
            </w:pPr>
            <w:r w:rsidRPr="0012707A">
              <w:rPr>
                <w:rFonts w:asciiTheme="majorHAnsi" w:eastAsia="Times New Roman" w:hAnsiTheme="majorHAnsi" w:cstheme="majorHAnsi"/>
                <w:color w:val="000000"/>
              </w:rPr>
              <w:lastRenderedPageBreak/>
              <w:t>Services provided by licensed medical</w:t>
            </w:r>
            <w:r w:rsidR="00CE57E5"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 dental</w:t>
            </w:r>
            <w:r w:rsidR="00CE57E5"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 clinical psychology</w:t>
            </w:r>
            <w:r w:rsidR="00CE57E5"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w:t>
            </w:r>
            <w:r w:rsidR="00CE57E5"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veterinarian professional(s) &amp; ambulance services</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Professional Liability</w:t>
            </w:r>
            <w:r w:rsidR="00600023"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Medical Malpractice coverage.</w:t>
            </w:r>
          </w:p>
          <w:p w14:paraId="32F52F4F" w14:textId="17F02E87" w:rsidR="006147C2" w:rsidRPr="0012707A" w:rsidRDefault="006147C2" w:rsidP="00EC7DC6">
            <w:pPr>
              <w:numPr>
                <w:ilvl w:val="0"/>
                <w:numId w:val="2"/>
              </w:numPr>
              <w:shd w:val="clear" w:color="auto" w:fill="FFFFFF"/>
              <w:tabs>
                <w:tab w:val="clear" w:pos="720"/>
              </w:tabs>
              <w:spacing w:after="0" w:line="240" w:lineRule="auto"/>
              <w:ind w:left="534"/>
              <w:rPr>
                <w:rFonts w:asciiTheme="majorHAnsi" w:eastAsia="Times New Roman" w:hAnsiTheme="majorHAnsi" w:cstheme="majorHAnsi"/>
                <w:color w:val="000000"/>
              </w:rPr>
            </w:pPr>
            <w:r w:rsidRPr="0012707A">
              <w:rPr>
                <w:rFonts w:asciiTheme="majorHAnsi" w:eastAsia="Times New Roman" w:hAnsiTheme="majorHAnsi" w:cstheme="majorHAnsi"/>
                <w:color w:val="000000"/>
              </w:rPr>
              <w:t>Custom Produced Art</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including but not limited to art preservation or restoration (Consult </w:t>
            </w:r>
            <w:r w:rsidR="00600023" w:rsidRPr="0012707A">
              <w:rPr>
                <w:rFonts w:asciiTheme="majorHAnsi" w:eastAsia="Times New Roman" w:hAnsiTheme="majorHAnsi" w:cstheme="majorHAnsi"/>
                <w:color w:val="000000"/>
              </w:rPr>
              <w:t>Risk Management</w:t>
            </w:r>
            <w:r w:rsidRPr="0012707A">
              <w:rPr>
                <w:rFonts w:asciiTheme="majorHAnsi" w:eastAsia="Times New Roman" w:hAnsiTheme="majorHAnsi" w:cstheme="majorHAnsi"/>
                <w:color w:val="000000"/>
              </w:rPr>
              <w:t>)</w:t>
            </w:r>
          </w:p>
        </w:tc>
        <w:tc>
          <w:tcPr>
            <w:tcW w:w="2905"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0324ABDD" w14:textId="77777777"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lastRenderedPageBreak/>
              <w:t> </w:t>
            </w:r>
          </w:p>
        </w:tc>
      </w:tr>
      <w:tr w:rsidR="006147C2" w:rsidRPr="0012707A" w14:paraId="1800B9C3" w14:textId="77777777" w:rsidTr="006E1AD6">
        <w:tc>
          <w:tcPr>
            <w:tcW w:w="3312"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691A40C7" w14:textId="41B36006" w:rsidR="005F59EE" w:rsidRPr="0012707A" w:rsidRDefault="005F59EE" w:rsidP="006E1AD6">
            <w:pPr>
              <w:numPr>
                <w:ilvl w:val="0"/>
                <w:numId w:val="3"/>
              </w:numPr>
              <w:shd w:val="clear" w:color="auto" w:fill="FFFFFF"/>
              <w:tabs>
                <w:tab w:val="clear" w:pos="720"/>
              </w:tabs>
              <w:spacing w:after="0" w:line="240" w:lineRule="auto"/>
              <w:ind w:left="512"/>
              <w:rPr>
                <w:rFonts w:asciiTheme="majorHAnsi" w:eastAsia="Times New Roman" w:hAnsiTheme="majorHAnsi" w:cstheme="majorHAnsi"/>
                <w:color w:val="000000"/>
              </w:rPr>
            </w:pPr>
            <w:r w:rsidRPr="0012707A">
              <w:rPr>
                <w:rFonts w:asciiTheme="majorHAnsi" w:eastAsia="Times New Roman" w:hAnsiTheme="majorHAnsi" w:cstheme="majorHAnsi"/>
                <w:color w:val="000000"/>
              </w:rPr>
              <w:t>C</w:t>
            </w:r>
            <w:r w:rsidRPr="0012707A">
              <w:rPr>
                <w:rFonts w:asciiTheme="majorHAnsi" w:hAnsiTheme="majorHAnsi" w:cstheme="majorHAnsi"/>
                <w:color w:val="000000"/>
              </w:rPr>
              <w:t xml:space="preserve">ontracts involving hazardous materials </w:t>
            </w:r>
            <w:r w:rsidR="00B6077C" w:rsidRPr="0012707A">
              <w:rPr>
                <w:rFonts w:asciiTheme="majorHAnsi" w:hAnsiTheme="majorHAnsi" w:cstheme="majorHAnsi"/>
                <w:color w:val="000000"/>
              </w:rPr>
              <w:t xml:space="preserve">for services </w:t>
            </w:r>
            <w:r w:rsidRPr="0012707A">
              <w:rPr>
                <w:rFonts w:asciiTheme="majorHAnsi" w:hAnsiTheme="majorHAnsi" w:cstheme="majorHAnsi"/>
                <w:color w:val="000000"/>
              </w:rPr>
              <w:t xml:space="preserve">such as abatement, hauling, use, etc. shall require vendor to carry Pollution Liability with limits of $1,000,000 per occurrence and $2,000,000 </w:t>
            </w:r>
            <w:proofErr w:type="gramStart"/>
            <w:r w:rsidRPr="0012707A">
              <w:rPr>
                <w:rFonts w:asciiTheme="majorHAnsi" w:eastAsia="Times New Roman" w:hAnsiTheme="majorHAnsi" w:cstheme="majorHAnsi"/>
                <w:color w:val="000000"/>
              </w:rPr>
              <w:t>aggregate</w:t>
            </w:r>
            <w:r w:rsidRPr="0012707A">
              <w:rPr>
                <w:rFonts w:asciiTheme="majorHAnsi" w:hAnsiTheme="majorHAnsi" w:cstheme="majorHAnsi"/>
                <w:color w:val="000000"/>
              </w:rPr>
              <w:t>.</w:t>
            </w:r>
            <w:r w:rsidR="00C00978" w:rsidRPr="0012707A">
              <w:rPr>
                <w:rFonts w:asciiTheme="majorHAnsi" w:hAnsiTheme="majorHAnsi" w:cstheme="majorHAnsi"/>
                <w:color w:val="000000"/>
              </w:rPr>
              <w:t>(</w:t>
            </w:r>
            <w:proofErr w:type="gramEnd"/>
            <w:r w:rsidR="00C00978" w:rsidRPr="0012707A">
              <w:rPr>
                <w:rFonts w:asciiTheme="majorHAnsi" w:hAnsiTheme="majorHAnsi" w:cstheme="majorHAnsi"/>
                <w:color w:val="000000"/>
              </w:rPr>
              <w:t>Consult Risk Management on contracts valued over $10M)</w:t>
            </w:r>
          </w:p>
        </w:tc>
        <w:tc>
          <w:tcPr>
            <w:tcW w:w="3127"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2F33F43A" w14:textId="76F05582" w:rsidR="006147C2" w:rsidRPr="0012707A" w:rsidRDefault="006147C2" w:rsidP="00EC7DC6">
            <w:pPr>
              <w:numPr>
                <w:ilvl w:val="0"/>
                <w:numId w:val="4"/>
              </w:numPr>
              <w:shd w:val="clear" w:color="auto" w:fill="FFFFFF"/>
              <w:tabs>
                <w:tab w:val="clear" w:pos="720"/>
              </w:tabs>
              <w:spacing w:after="0" w:line="240" w:lineRule="auto"/>
              <w:ind w:left="534"/>
              <w:rPr>
                <w:rFonts w:asciiTheme="majorHAnsi" w:eastAsia="Times New Roman" w:hAnsiTheme="majorHAnsi" w:cstheme="majorHAnsi"/>
                <w:color w:val="000000"/>
              </w:rPr>
            </w:pPr>
            <w:r w:rsidRPr="0012707A">
              <w:rPr>
                <w:rFonts w:asciiTheme="majorHAnsi" w:eastAsia="Times New Roman" w:hAnsiTheme="majorHAnsi" w:cstheme="majorHAnsi"/>
                <w:color w:val="000000"/>
              </w:rPr>
              <w:t>Travel Agencies for Group Travel</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Professional</w:t>
            </w:r>
            <w:r w:rsidR="00CE57E5"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w:t>
            </w:r>
            <w:r w:rsidR="00CE57E5"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Errors &amp; Omissions liability coverage.</w:t>
            </w:r>
          </w:p>
        </w:tc>
        <w:tc>
          <w:tcPr>
            <w:tcW w:w="2905"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772D180E" w14:textId="77777777" w:rsidR="006147C2" w:rsidRPr="0012707A" w:rsidRDefault="006147C2" w:rsidP="00EC7DC6">
            <w:pPr>
              <w:numPr>
                <w:ilvl w:val="0"/>
                <w:numId w:val="5"/>
              </w:numPr>
              <w:shd w:val="clear" w:color="auto" w:fill="FFFFFF"/>
              <w:tabs>
                <w:tab w:val="clear" w:pos="720"/>
              </w:tabs>
              <w:spacing w:after="0" w:line="240" w:lineRule="auto"/>
              <w:ind w:left="489"/>
              <w:rPr>
                <w:rFonts w:asciiTheme="majorHAnsi" w:eastAsia="Times New Roman" w:hAnsiTheme="majorHAnsi" w:cstheme="majorHAnsi"/>
                <w:color w:val="000000"/>
              </w:rPr>
            </w:pPr>
            <w:r w:rsidRPr="0012707A">
              <w:rPr>
                <w:rFonts w:asciiTheme="majorHAnsi" w:eastAsia="Times New Roman" w:hAnsiTheme="majorHAnsi" w:cstheme="majorHAnsi"/>
                <w:color w:val="000000"/>
              </w:rPr>
              <w:t>Inter-agency agreements or other agreements between state agencies, state universities, and/or political subdivisions; municipalities; school districts; and park districts</w:t>
            </w:r>
          </w:p>
        </w:tc>
      </w:tr>
      <w:tr w:rsidR="006147C2" w:rsidRPr="0012707A" w14:paraId="734ED542" w14:textId="77777777" w:rsidTr="006E1AD6">
        <w:tc>
          <w:tcPr>
            <w:tcW w:w="3312"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6EE33E3C" w14:textId="036667E2" w:rsidR="006147C2" w:rsidRPr="0012707A" w:rsidRDefault="006147C2" w:rsidP="00EC7DC6">
            <w:pPr>
              <w:numPr>
                <w:ilvl w:val="0"/>
                <w:numId w:val="6"/>
              </w:numPr>
              <w:shd w:val="clear" w:color="auto" w:fill="FFFFFF"/>
              <w:tabs>
                <w:tab w:val="clear" w:pos="720"/>
              </w:tabs>
              <w:spacing w:after="0" w:line="240" w:lineRule="auto"/>
              <w:ind w:left="512"/>
              <w:rPr>
                <w:rFonts w:asciiTheme="majorHAnsi" w:eastAsia="Times New Roman" w:hAnsiTheme="majorHAnsi" w:cstheme="majorHAnsi"/>
                <w:color w:val="000000"/>
              </w:rPr>
            </w:pPr>
            <w:r w:rsidRPr="0012707A">
              <w:rPr>
                <w:rFonts w:asciiTheme="majorHAnsi" w:eastAsia="Times New Roman" w:hAnsiTheme="majorHAnsi" w:cstheme="majorHAnsi"/>
                <w:color w:val="000000"/>
              </w:rPr>
              <w:t>Aviation-related activities, including air charters (</w:t>
            </w:r>
            <w:r w:rsidR="009A4DC8" w:rsidRPr="0012707A">
              <w:rPr>
                <w:rFonts w:asciiTheme="majorHAnsi" w:eastAsia="Times New Roman" w:hAnsiTheme="majorHAnsi" w:cstheme="majorHAnsi"/>
                <w:color w:val="000000"/>
              </w:rPr>
              <w:t>Consult Risk</w:t>
            </w:r>
            <w:r w:rsidR="00600023" w:rsidRPr="0012707A">
              <w:rPr>
                <w:rFonts w:asciiTheme="majorHAnsi" w:eastAsia="Times New Roman" w:hAnsiTheme="majorHAnsi" w:cstheme="majorHAnsi"/>
                <w:color w:val="000000"/>
              </w:rPr>
              <w:t xml:space="preserve"> Management</w:t>
            </w:r>
            <w:r w:rsidRPr="0012707A">
              <w:rPr>
                <w:rFonts w:asciiTheme="majorHAnsi" w:eastAsia="Times New Roman" w:hAnsiTheme="majorHAnsi" w:cstheme="majorHAnsi"/>
                <w:color w:val="000000"/>
              </w:rPr>
              <w:t>)</w:t>
            </w:r>
          </w:p>
          <w:p w14:paraId="1ED7802E" w14:textId="77777777" w:rsidR="006147C2" w:rsidRPr="0012707A" w:rsidRDefault="006147C2" w:rsidP="00EC7DC6">
            <w:pPr>
              <w:numPr>
                <w:ilvl w:val="0"/>
                <w:numId w:val="6"/>
              </w:numPr>
              <w:shd w:val="clear" w:color="auto" w:fill="FFFFFF"/>
              <w:tabs>
                <w:tab w:val="clear" w:pos="720"/>
              </w:tabs>
              <w:spacing w:after="0" w:line="240" w:lineRule="auto"/>
              <w:ind w:left="512"/>
              <w:rPr>
                <w:rFonts w:asciiTheme="majorHAnsi" w:eastAsia="Times New Roman" w:hAnsiTheme="majorHAnsi" w:cstheme="majorHAnsi"/>
                <w:color w:val="000000"/>
              </w:rPr>
            </w:pPr>
            <w:r w:rsidRPr="0012707A">
              <w:rPr>
                <w:rFonts w:asciiTheme="majorHAnsi" w:eastAsia="Times New Roman" w:hAnsiTheme="majorHAnsi" w:cstheme="majorHAnsi"/>
                <w:color w:val="000000"/>
              </w:rPr>
              <w:t>Golf course manager, if applicable</w:t>
            </w:r>
          </w:p>
        </w:tc>
        <w:tc>
          <w:tcPr>
            <w:tcW w:w="3127"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4C5D2C44" w14:textId="0AABFEFB" w:rsidR="006147C2" w:rsidRPr="0012707A" w:rsidRDefault="006147C2" w:rsidP="00EC7DC6">
            <w:pPr>
              <w:numPr>
                <w:ilvl w:val="0"/>
                <w:numId w:val="7"/>
              </w:numPr>
              <w:shd w:val="clear" w:color="auto" w:fill="FFFFFF"/>
              <w:tabs>
                <w:tab w:val="clear" w:pos="720"/>
              </w:tabs>
              <w:spacing w:after="0" w:line="240" w:lineRule="auto"/>
              <w:ind w:left="522"/>
              <w:rPr>
                <w:rFonts w:asciiTheme="majorHAnsi" w:eastAsia="Times New Roman" w:hAnsiTheme="majorHAnsi" w:cstheme="majorHAnsi"/>
                <w:color w:val="000000"/>
              </w:rPr>
            </w:pPr>
            <w:r w:rsidRPr="0012707A">
              <w:rPr>
                <w:rFonts w:asciiTheme="majorHAnsi" w:eastAsia="Times New Roman" w:hAnsiTheme="majorHAnsi" w:cstheme="majorHAnsi"/>
                <w:color w:val="000000"/>
              </w:rPr>
              <w:t>Broadcasting Services</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Professional Liability</w:t>
            </w:r>
            <w:r w:rsidR="00CE57E5"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w:t>
            </w:r>
            <w:r w:rsidR="00CE57E5"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Errors &amp; Omissions liability coverage.</w:t>
            </w:r>
          </w:p>
        </w:tc>
        <w:tc>
          <w:tcPr>
            <w:tcW w:w="2905"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2D781874" w14:textId="0361874E" w:rsidR="006147C2" w:rsidRPr="0012707A" w:rsidRDefault="006147C2" w:rsidP="00EC7DC6">
            <w:pPr>
              <w:numPr>
                <w:ilvl w:val="0"/>
                <w:numId w:val="8"/>
              </w:numPr>
              <w:shd w:val="clear" w:color="auto" w:fill="FFFFFF"/>
              <w:tabs>
                <w:tab w:val="clear" w:pos="720"/>
              </w:tabs>
              <w:spacing w:after="0" w:line="240" w:lineRule="auto"/>
              <w:ind w:left="514"/>
              <w:rPr>
                <w:rFonts w:asciiTheme="majorHAnsi" w:eastAsia="Times New Roman" w:hAnsiTheme="majorHAnsi" w:cstheme="majorHAnsi"/>
                <w:color w:val="000000"/>
              </w:rPr>
            </w:pPr>
            <w:r w:rsidRPr="0012707A">
              <w:rPr>
                <w:rFonts w:asciiTheme="majorHAnsi" w:eastAsia="Times New Roman" w:hAnsiTheme="majorHAnsi" w:cstheme="majorHAnsi"/>
                <w:color w:val="000000"/>
              </w:rPr>
              <w:t>“Brand name” companies with a national and/or regional name</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w:t>
            </w:r>
            <w:r w:rsidR="00600023" w:rsidRPr="0012707A">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 xml:space="preserve">presence (except if the services fall under Column I.) See Supplement </w:t>
            </w:r>
            <w:hyperlink r:id="rId6" w:history="1">
              <w:r w:rsidRPr="0012707A">
                <w:rPr>
                  <w:rStyle w:val="Hyperlink"/>
                  <w:rFonts w:asciiTheme="majorHAnsi" w:eastAsia="Times New Roman" w:hAnsiTheme="majorHAnsi" w:cstheme="majorHAnsi"/>
                </w:rPr>
                <w:t>Fortune 500 list</w:t>
              </w:r>
            </w:hyperlink>
            <w:r w:rsidRPr="0012707A">
              <w:rPr>
                <w:rFonts w:asciiTheme="majorHAnsi" w:eastAsia="Times New Roman" w:hAnsiTheme="majorHAnsi" w:cstheme="majorHAnsi"/>
                <w:color w:val="000000"/>
              </w:rPr>
              <w:t>)</w:t>
            </w:r>
          </w:p>
        </w:tc>
      </w:tr>
      <w:tr w:rsidR="006147C2" w:rsidRPr="0012707A" w14:paraId="60F30D0F" w14:textId="77777777" w:rsidTr="006E1AD6">
        <w:tc>
          <w:tcPr>
            <w:tcW w:w="3312"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32582AE1" w14:textId="4F905D94" w:rsidR="006147C2" w:rsidRPr="0012707A" w:rsidRDefault="006147C2" w:rsidP="00EC7DC6">
            <w:pPr>
              <w:numPr>
                <w:ilvl w:val="0"/>
                <w:numId w:val="9"/>
              </w:numPr>
              <w:shd w:val="clear" w:color="auto" w:fill="FFFFFF"/>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 xml:space="preserve">Catering </w:t>
            </w:r>
            <w:proofErr w:type="gramStart"/>
            <w:r w:rsidRPr="0012707A">
              <w:rPr>
                <w:rFonts w:asciiTheme="majorHAnsi" w:eastAsia="Times New Roman" w:hAnsiTheme="majorHAnsi" w:cstheme="majorHAnsi"/>
                <w:color w:val="000000"/>
              </w:rPr>
              <w:t>services</w:t>
            </w:r>
            <w:r w:rsidR="00B6077C" w:rsidRPr="0012707A">
              <w:rPr>
                <w:rFonts w:asciiTheme="majorHAnsi" w:eastAsia="Times New Roman" w:hAnsiTheme="majorHAnsi" w:cstheme="majorHAnsi"/>
                <w:color w:val="000000"/>
              </w:rPr>
              <w:t>:</w:t>
            </w:r>
            <w:r w:rsidR="00B6077C" w:rsidRPr="0012707A">
              <w:rPr>
                <w:rFonts w:asciiTheme="majorHAnsi" w:eastAsia="Times New Roman" w:hAnsiTheme="majorHAnsi" w:cstheme="majorHAnsi"/>
                <w:color w:val="000000"/>
                <w:vertAlign w:val="superscript"/>
              </w:rPr>
              <w:t>*</w:t>
            </w:r>
            <w:proofErr w:type="gramEnd"/>
            <w:r w:rsidRPr="0012707A">
              <w:rPr>
                <w:rFonts w:asciiTheme="majorHAnsi" w:eastAsia="Times New Roman" w:hAnsiTheme="majorHAnsi" w:cstheme="majorHAnsi"/>
                <w:color w:val="000000"/>
              </w:rPr>
              <w:t xml:space="preserve"> must also have Liquor Liability coverage in the amount of </w:t>
            </w:r>
            <w:r w:rsidRPr="0012707A">
              <w:rPr>
                <w:rFonts w:asciiTheme="majorHAnsi" w:eastAsia="Times New Roman" w:hAnsiTheme="majorHAnsi" w:cstheme="majorHAnsi"/>
                <w:color w:val="000000"/>
              </w:rPr>
              <w:lastRenderedPageBreak/>
              <w:t>$1,000,000 if liquor is being sold, served or furnished.</w:t>
            </w:r>
          </w:p>
          <w:p w14:paraId="7B71D4C6" w14:textId="7062D0FA" w:rsidR="006147C2" w:rsidRPr="0012707A" w:rsidRDefault="006147C2" w:rsidP="00EC7DC6">
            <w:pPr>
              <w:numPr>
                <w:ilvl w:val="0"/>
                <w:numId w:val="9"/>
              </w:numPr>
              <w:shd w:val="clear" w:color="auto" w:fill="FFFFFF"/>
              <w:spacing w:after="0" w:line="240" w:lineRule="auto"/>
              <w:rPr>
                <w:rFonts w:asciiTheme="majorHAnsi" w:eastAsia="Times New Roman" w:hAnsiTheme="majorHAnsi" w:cstheme="majorHAnsi"/>
                <w:color w:val="000000"/>
              </w:rPr>
            </w:pPr>
            <w:proofErr w:type="gramStart"/>
            <w:r w:rsidRPr="0012707A">
              <w:rPr>
                <w:rFonts w:asciiTheme="majorHAnsi" w:eastAsia="Times New Roman" w:hAnsiTheme="majorHAnsi" w:cstheme="majorHAnsi"/>
                <w:color w:val="000000"/>
              </w:rPr>
              <w:t>Concessionaires</w:t>
            </w:r>
            <w:r w:rsidR="00B6077C" w:rsidRPr="0012707A">
              <w:rPr>
                <w:rFonts w:asciiTheme="majorHAnsi" w:eastAsia="Times New Roman" w:hAnsiTheme="majorHAnsi" w:cstheme="majorHAnsi"/>
                <w:color w:val="000000"/>
              </w:rPr>
              <w:t>:</w:t>
            </w:r>
            <w:r w:rsidR="00B6077C" w:rsidRPr="0012707A">
              <w:rPr>
                <w:rFonts w:asciiTheme="majorHAnsi" w:eastAsia="Times New Roman" w:hAnsiTheme="majorHAnsi" w:cstheme="majorHAnsi"/>
                <w:color w:val="000000"/>
                <w:vertAlign w:val="superscript"/>
              </w:rPr>
              <w:t>*</w:t>
            </w:r>
            <w:proofErr w:type="gramEnd"/>
            <w:r w:rsidR="00B6077C" w:rsidRPr="0012707A">
              <w:rPr>
                <w:rFonts w:asciiTheme="majorHAnsi" w:eastAsia="Times New Roman" w:hAnsiTheme="majorHAnsi" w:cstheme="majorHAnsi"/>
                <w:color w:val="000000"/>
                <w:vertAlign w:val="superscript"/>
              </w:rPr>
              <w:t>*</w:t>
            </w:r>
            <w:r w:rsidR="00600023"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Liquor Liability coverage in the amount of $1,000,000 if liquor is being sold, served</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or furnished.</w:t>
            </w:r>
          </w:p>
          <w:p w14:paraId="58FCA45E" w14:textId="19F7FB56" w:rsidR="006147C2" w:rsidRPr="0012707A" w:rsidRDefault="006147C2" w:rsidP="00EC7DC6">
            <w:pPr>
              <w:numPr>
                <w:ilvl w:val="0"/>
                <w:numId w:val="9"/>
              </w:numPr>
              <w:shd w:val="clear" w:color="auto" w:fill="FFFFFF"/>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Bartending services</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have Liquor Liability coverage in the amount of $1,000,000.</w:t>
            </w:r>
          </w:p>
          <w:p w14:paraId="6F3A8E7A" w14:textId="5971D71A" w:rsidR="006147C2" w:rsidRPr="0012707A" w:rsidRDefault="006147C2" w:rsidP="00EC7DC6">
            <w:pPr>
              <w:numPr>
                <w:ilvl w:val="0"/>
                <w:numId w:val="9"/>
              </w:numPr>
              <w:shd w:val="clear" w:color="auto" w:fill="FFFFFF"/>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 xml:space="preserve">Janitorial services performed on </w:t>
            </w:r>
            <w:r w:rsidR="00600023" w:rsidRPr="0012707A">
              <w:rPr>
                <w:rFonts w:asciiTheme="majorHAnsi" w:eastAsia="Times New Roman" w:hAnsiTheme="majorHAnsi" w:cstheme="majorHAnsi"/>
                <w:color w:val="000000"/>
              </w:rPr>
              <w:t>university</w:t>
            </w:r>
            <w:r w:rsidRPr="0012707A">
              <w:rPr>
                <w:rFonts w:asciiTheme="majorHAnsi" w:eastAsia="Times New Roman" w:hAnsiTheme="majorHAnsi" w:cstheme="majorHAnsi"/>
                <w:color w:val="000000"/>
              </w:rPr>
              <w:t xml:space="preserve"> </w:t>
            </w:r>
            <w:proofErr w:type="gramStart"/>
            <w:r w:rsidRPr="0012707A">
              <w:rPr>
                <w:rFonts w:asciiTheme="majorHAnsi" w:eastAsia="Times New Roman" w:hAnsiTheme="majorHAnsi" w:cstheme="majorHAnsi"/>
                <w:color w:val="000000"/>
              </w:rPr>
              <w:t>premises</w:t>
            </w:r>
            <w:proofErr w:type="gramEnd"/>
          </w:p>
          <w:p w14:paraId="7F0598CD" w14:textId="7F55D782" w:rsidR="005F59EE" w:rsidRPr="0012707A" w:rsidRDefault="006147C2" w:rsidP="00EC7DC6">
            <w:pPr>
              <w:numPr>
                <w:ilvl w:val="0"/>
                <w:numId w:val="9"/>
              </w:numPr>
              <w:shd w:val="clear" w:color="auto" w:fill="FFFFFF"/>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 xml:space="preserve">Use of </w:t>
            </w:r>
            <w:r w:rsidR="001C6054" w:rsidRPr="0012707A">
              <w:rPr>
                <w:rFonts w:asciiTheme="majorHAnsi" w:eastAsia="Times New Roman" w:hAnsiTheme="majorHAnsi" w:cstheme="majorHAnsi"/>
                <w:color w:val="000000"/>
              </w:rPr>
              <w:t>u</w:t>
            </w:r>
            <w:r w:rsidRPr="0012707A">
              <w:rPr>
                <w:rFonts w:asciiTheme="majorHAnsi" w:eastAsia="Times New Roman" w:hAnsiTheme="majorHAnsi" w:cstheme="majorHAnsi"/>
                <w:color w:val="000000"/>
              </w:rPr>
              <w:t>niversity premises by outside individuals/organizations (Facility Use Agreements)</w:t>
            </w:r>
          </w:p>
          <w:p w14:paraId="1F364D02" w14:textId="7D9FBF02" w:rsidR="004118CE" w:rsidRPr="0012707A" w:rsidRDefault="004118CE" w:rsidP="00EC7DC6">
            <w:pPr>
              <w:numPr>
                <w:ilvl w:val="0"/>
                <w:numId w:val="9"/>
              </w:numPr>
              <w:shd w:val="clear" w:color="auto" w:fill="FFFFFF"/>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Vehicle Charters: (</w:t>
            </w:r>
            <w:r w:rsidR="00051616" w:rsidRPr="0012707A">
              <w:rPr>
                <w:rFonts w:asciiTheme="majorHAnsi" w:eastAsia="Times New Roman" w:hAnsiTheme="majorHAnsi" w:cstheme="majorHAnsi"/>
                <w:color w:val="000000"/>
              </w:rPr>
              <w:t>Can be contracted on a PO</w:t>
            </w:r>
            <w:r w:rsidRPr="0012707A">
              <w:rPr>
                <w:rFonts w:asciiTheme="majorHAnsi" w:eastAsia="Times New Roman" w:hAnsiTheme="majorHAnsi" w:cstheme="majorHAnsi"/>
                <w:color w:val="000000"/>
              </w:rPr>
              <w:t>)</w:t>
            </w:r>
          </w:p>
          <w:p w14:paraId="6C8A808C" w14:textId="7A7EAAE5" w:rsidR="004118CE" w:rsidRPr="0012707A" w:rsidRDefault="004118CE" w:rsidP="006E1AD6">
            <w:pPr>
              <w:shd w:val="clear" w:color="auto" w:fill="FFFFFF"/>
              <w:spacing w:before="240" w:after="0" w:line="240" w:lineRule="auto"/>
              <w:ind w:left="698"/>
              <w:rPr>
                <w:rFonts w:asciiTheme="majorHAnsi" w:eastAsia="Times New Roman" w:hAnsiTheme="majorHAnsi" w:cstheme="majorHAnsi"/>
                <w:color w:val="000000"/>
              </w:rPr>
            </w:pPr>
            <w:r w:rsidRPr="0012707A">
              <w:rPr>
                <w:rFonts w:asciiTheme="majorHAnsi" w:eastAsia="Times New Roman" w:hAnsiTheme="majorHAnsi" w:cstheme="majorHAnsi"/>
                <w:color w:val="000000"/>
              </w:rPr>
              <w:t>Bus (25+ passengers): $10,000,000</w:t>
            </w:r>
          </w:p>
          <w:p w14:paraId="76BD8200" w14:textId="0011E476" w:rsidR="004118CE" w:rsidRPr="0012707A" w:rsidRDefault="004118CE" w:rsidP="006E1AD6">
            <w:pPr>
              <w:shd w:val="clear" w:color="auto" w:fill="FFFFFF"/>
              <w:spacing w:before="240" w:after="0" w:line="240" w:lineRule="auto"/>
              <w:ind w:left="698"/>
              <w:rPr>
                <w:rFonts w:asciiTheme="majorHAnsi" w:eastAsia="Times New Roman" w:hAnsiTheme="majorHAnsi" w:cstheme="majorHAnsi"/>
                <w:color w:val="000000"/>
              </w:rPr>
            </w:pPr>
            <w:r w:rsidRPr="0012707A">
              <w:rPr>
                <w:rFonts w:asciiTheme="majorHAnsi" w:eastAsia="Times New Roman" w:hAnsiTheme="majorHAnsi" w:cstheme="majorHAnsi"/>
                <w:color w:val="000000"/>
              </w:rPr>
              <w:t>Mini-bus (16</w:t>
            </w:r>
            <w:r w:rsidR="00F507D1">
              <w:rPr>
                <w:rFonts w:asciiTheme="majorHAnsi" w:eastAsia="Times New Roman" w:hAnsiTheme="majorHAnsi" w:cstheme="majorHAnsi"/>
                <w:color w:val="000000"/>
              </w:rPr>
              <w:t>–</w:t>
            </w:r>
            <w:r w:rsidRPr="0012707A">
              <w:rPr>
                <w:rFonts w:asciiTheme="majorHAnsi" w:eastAsia="Times New Roman" w:hAnsiTheme="majorHAnsi" w:cstheme="majorHAnsi"/>
                <w:color w:val="000000"/>
              </w:rPr>
              <w:t>25 passengers): $7,000,000</w:t>
            </w:r>
          </w:p>
          <w:p w14:paraId="7D819AD8" w14:textId="5187662F" w:rsidR="004118CE" w:rsidRPr="0012707A" w:rsidRDefault="004118CE" w:rsidP="006E1AD6">
            <w:pPr>
              <w:shd w:val="clear" w:color="auto" w:fill="FFFFFF"/>
              <w:spacing w:before="240" w:after="0" w:line="240" w:lineRule="auto"/>
              <w:ind w:left="698"/>
              <w:rPr>
                <w:rFonts w:asciiTheme="majorHAnsi" w:eastAsia="Times New Roman" w:hAnsiTheme="majorHAnsi" w:cstheme="majorHAnsi"/>
                <w:color w:val="000000"/>
              </w:rPr>
            </w:pPr>
            <w:r w:rsidRPr="0012707A">
              <w:rPr>
                <w:rFonts w:asciiTheme="majorHAnsi" w:eastAsia="Times New Roman" w:hAnsiTheme="majorHAnsi" w:cstheme="majorHAnsi"/>
                <w:color w:val="000000"/>
              </w:rPr>
              <w:t>Shuttle bus or van (14 passengers + driver): $5,000,000</w:t>
            </w:r>
          </w:p>
          <w:p w14:paraId="57263B80" w14:textId="131DBBAA" w:rsidR="004118CE" w:rsidRPr="0012707A" w:rsidRDefault="004118CE" w:rsidP="006E1AD6">
            <w:pPr>
              <w:shd w:val="clear" w:color="auto" w:fill="FFFFFF"/>
              <w:spacing w:before="240" w:after="0" w:line="240" w:lineRule="auto"/>
              <w:ind w:left="698"/>
              <w:rPr>
                <w:rFonts w:asciiTheme="majorHAnsi" w:eastAsia="Times New Roman" w:hAnsiTheme="majorHAnsi" w:cstheme="majorHAnsi"/>
                <w:color w:val="000000"/>
              </w:rPr>
            </w:pPr>
            <w:r w:rsidRPr="0012707A">
              <w:rPr>
                <w:rFonts w:asciiTheme="majorHAnsi" w:eastAsia="Times New Roman" w:hAnsiTheme="majorHAnsi" w:cstheme="majorHAnsi"/>
                <w:color w:val="000000"/>
              </w:rPr>
              <w:t>Van (8 passengers): $2,000,000</w:t>
            </w:r>
          </w:p>
          <w:p w14:paraId="3478C07A" w14:textId="197799A7" w:rsidR="00F507D1" w:rsidRPr="0012707A" w:rsidRDefault="004118CE" w:rsidP="006E1AD6">
            <w:pPr>
              <w:shd w:val="clear" w:color="auto" w:fill="FFFFFF"/>
              <w:spacing w:before="240" w:after="0" w:line="240" w:lineRule="auto"/>
              <w:ind w:left="698"/>
              <w:rPr>
                <w:rFonts w:asciiTheme="majorHAnsi" w:eastAsia="Times New Roman" w:hAnsiTheme="majorHAnsi" w:cstheme="majorHAnsi"/>
                <w:color w:val="000000"/>
              </w:rPr>
            </w:pPr>
            <w:r w:rsidRPr="0012707A">
              <w:rPr>
                <w:rFonts w:asciiTheme="majorHAnsi" w:eastAsia="Times New Roman" w:hAnsiTheme="majorHAnsi" w:cstheme="majorHAnsi"/>
                <w:color w:val="000000"/>
              </w:rPr>
              <w:t>Sedan: $1,000,000</w:t>
            </w:r>
          </w:p>
        </w:tc>
        <w:tc>
          <w:tcPr>
            <w:tcW w:w="3127"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2CD776B1" w14:textId="42B4524E" w:rsidR="006147C2" w:rsidRPr="0012707A" w:rsidRDefault="006147C2" w:rsidP="00EC7DC6">
            <w:pPr>
              <w:numPr>
                <w:ilvl w:val="0"/>
                <w:numId w:val="10"/>
              </w:numPr>
              <w:shd w:val="clear" w:color="auto" w:fill="FFFFFF"/>
              <w:tabs>
                <w:tab w:val="clear" w:pos="720"/>
              </w:tabs>
              <w:spacing w:after="0" w:line="240" w:lineRule="auto"/>
              <w:ind w:left="522"/>
              <w:rPr>
                <w:rFonts w:asciiTheme="majorHAnsi" w:eastAsia="Times New Roman" w:hAnsiTheme="majorHAnsi" w:cstheme="majorHAnsi"/>
                <w:color w:val="000000"/>
              </w:rPr>
            </w:pPr>
            <w:r w:rsidRPr="0012707A">
              <w:rPr>
                <w:rFonts w:asciiTheme="majorHAnsi" w:eastAsia="Times New Roman" w:hAnsiTheme="majorHAnsi" w:cstheme="majorHAnsi"/>
                <w:color w:val="000000"/>
              </w:rPr>
              <w:lastRenderedPageBreak/>
              <w:t xml:space="preserve">Mass Transit Services (Consult </w:t>
            </w:r>
            <w:r w:rsidR="00600023" w:rsidRPr="0012707A">
              <w:rPr>
                <w:rFonts w:asciiTheme="majorHAnsi" w:eastAsia="Times New Roman" w:hAnsiTheme="majorHAnsi" w:cstheme="majorHAnsi"/>
                <w:color w:val="000000"/>
              </w:rPr>
              <w:t>Risk Management</w:t>
            </w:r>
            <w:r w:rsidRPr="0012707A">
              <w:rPr>
                <w:rFonts w:asciiTheme="majorHAnsi" w:eastAsia="Times New Roman" w:hAnsiTheme="majorHAnsi" w:cstheme="majorHAnsi"/>
                <w:color w:val="000000"/>
              </w:rPr>
              <w:t>)</w:t>
            </w:r>
          </w:p>
          <w:p w14:paraId="60F12988" w14:textId="55C2DA0A" w:rsidR="006147C2" w:rsidRPr="0012707A" w:rsidRDefault="006147C2" w:rsidP="00EC7DC6">
            <w:pPr>
              <w:numPr>
                <w:ilvl w:val="0"/>
                <w:numId w:val="10"/>
              </w:numPr>
              <w:shd w:val="clear" w:color="auto" w:fill="FFFFFF"/>
              <w:tabs>
                <w:tab w:val="clear" w:pos="720"/>
              </w:tabs>
              <w:spacing w:after="0" w:line="240" w:lineRule="auto"/>
              <w:ind w:left="522"/>
              <w:rPr>
                <w:rFonts w:asciiTheme="majorHAnsi" w:eastAsia="Times New Roman" w:hAnsiTheme="majorHAnsi" w:cstheme="majorHAnsi"/>
                <w:color w:val="000000"/>
              </w:rPr>
            </w:pPr>
            <w:r w:rsidRPr="0012707A">
              <w:rPr>
                <w:rFonts w:asciiTheme="majorHAnsi" w:eastAsia="Times New Roman" w:hAnsiTheme="majorHAnsi" w:cstheme="majorHAnsi"/>
                <w:color w:val="000000"/>
              </w:rPr>
              <w:lastRenderedPageBreak/>
              <w:t>Purchases where services require access to the System’s information technology infrastructure (Consult with Risk</w:t>
            </w:r>
            <w:r w:rsidR="00B6077C" w:rsidRPr="0012707A">
              <w:rPr>
                <w:rFonts w:asciiTheme="majorHAnsi" w:eastAsia="Times New Roman" w:hAnsiTheme="majorHAnsi" w:cstheme="majorHAnsi"/>
                <w:color w:val="000000"/>
              </w:rPr>
              <w:t xml:space="preserve"> Management</w:t>
            </w:r>
            <w:r w:rsidRPr="0012707A">
              <w:rPr>
                <w:rFonts w:asciiTheme="majorHAnsi" w:eastAsia="Times New Roman" w:hAnsiTheme="majorHAnsi" w:cstheme="majorHAnsi"/>
                <w:color w:val="000000"/>
              </w:rPr>
              <w:t>)</w:t>
            </w:r>
          </w:p>
          <w:p w14:paraId="29572B35" w14:textId="285D33C7" w:rsidR="006147C2" w:rsidRPr="0012707A" w:rsidRDefault="006147C2" w:rsidP="00EC7DC6">
            <w:pPr>
              <w:numPr>
                <w:ilvl w:val="0"/>
                <w:numId w:val="10"/>
              </w:numPr>
              <w:shd w:val="clear" w:color="auto" w:fill="FFFFFF"/>
              <w:tabs>
                <w:tab w:val="clear" w:pos="720"/>
              </w:tabs>
              <w:spacing w:after="0" w:line="240" w:lineRule="auto"/>
              <w:ind w:left="522"/>
              <w:rPr>
                <w:rFonts w:asciiTheme="majorHAnsi" w:eastAsia="Times New Roman" w:hAnsiTheme="majorHAnsi" w:cstheme="majorHAnsi"/>
                <w:color w:val="000000"/>
              </w:rPr>
            </w:pPr>
            <w:r w:rsidRPr="0012707A">
              <w:rPr>
                <w:rFonts w:asciiTheme="majorHAnsi" w:eastAsia="Times New Roman" w:hAnsiTheme="majorHAnsi" w:cstheme="majorHAnsi"/>
                <w:color w:val="000000"/>
              </w:rPr>
              <w:t>Facilities for storing System property</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must also have Bailee liability </w:t>
            </w:r>
            <w:proofErr w:type="gramStart"/>
            <w:r w:rsidRPr="0012707A">
              <w:rPr>
                <w:rFonts w:asciiTheme="majorHAnsi" w:eastAsia="Times New Roman" w:hAnsiTheme="majorHAnsi" w:cstheme="majorHAnsi"/>
                <w:color w:val="000000"/>
              </w:rPr>
              <w:t>coverage</w:t>
            </w:r>
            <w:proofErr w:type="gramEnd"/>
          </w:p>
          <w:p w14:paraId="10216A8C" w14:textId="77777777" w:rsidR="006147C2" w:rsidRPr="0012707A" w:rsidRDefault="006147C2" w:rsidP="00EC7DC6">
            <w:pPr>
              <w:numPr>
                <w:ilvl w:val="0"/>
                <w:numId w:val="10"/>
              </w:numPr>
              <w:shd w:val="clear" w:color="auto" w:fill="FFFFFF"/>
              <w:tabs>
                <w:tab w:val="clear" w:pos="720"/>
              </w:tabs>
              <w:spacing w:after="0" w:line="240" w:lineRule="auto"/>
              <w:ind w:left="522"/>
              <w:rPr>
                <w:rFonts w:asciiTheme="majorHAnsi" w:eastAsia="Times New Roman" w:hAnsiTheme="majorHAnsi" w:cstheme="majorHAnsi"/>
                <w:color w:val="000000"/>
              </w:rPr>
            </w:pPr>
            <w:r w:rsidRPr="0012707A">
              <w:rPr>
                <w:rFonts w:asciiTheme="majorHAnsi" w:eastAsia="Times New Roman" w:hAnsiTheme="majorHAnsi" w:cstheme="majorHAnsi"/>
                <w:color w:val="000000"/>
              </w:rPr>
              <w:t>Material Transfer Agreements</w:t>
            </w:r>
          </w:p>
        </w:tc>
        <w:tc>
          <w:tcPr>
            <w:tcW w:w="2905"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6D012B9D" w14:textId="08F361AD" w:rsidR="006147C2" w:rsidRPr="0012707A" w:rsidRDefault="006147C2" w:rsidP="00EC7DC6">
            <w:pPr>
              <w:spacing w:after="0" w:line="240" w:lineRule="auto"/>
              <w:rPr>
                <w:rFonts w:asciiTheme="majorHAnsi" w:eastAsia="Times New Roman" w:hAnsiTheme="majorHAnsi" w:cstheme="majorHAnsi"/>
                <w:color w:val="000000"/>
              </w:rPr>
            </w:pPr>
          </w:p>
        </w:tc>
      </w:tr>
      <w:tr w:rsidR="006147C2" w:rsidRPr="0012707A" w14:paraId="098AB5CC" w14:textId="77777777" w:rsidTr="006E1AD6">
        <w:tc>
          <w:tcPr>
            <w:tcW w:w="3312"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6748EF5C" w14:textId="16D1C6C6" w:rsidR="006147C2" w:rsidRPr="0012707A" w:rsidRDefault="006147C2" w:rsidP="00EC7DC6">
            <w:pPr>
              <w:numPr>
                <w:ilvl w:val="0"/>
                <w:numId w:val="11"/>
              </w:numPr>
              <w:shd w:val="clear" w:color="auto" w:fill="FFFFFF"/>
              <w:tabs>
                <w:tab w:val="clear" w:pos="720"/>
              </w:tabs>
              <w:spacing w:after="0" w:line="240" w:lineRule="auto"/>
              <w:ind w:left="512"/>
              <w:rPr>
                <w:rFonts w:asciiTheme="majorHAnsi" w:eastAsia="Times New Roman" w:hAnsiTheme="majorHAnsi" w:cstheme="majorHAnsi"/>
                <w:color w:val="000000"/>
              </w:rPr>
            </w:pPr>
            <w:r w:rsidRPr="0012707A">
              <w:rPr>
                <w:rFonts w:asciiTheme="majorHAnsi" w:eastAsia="Times New Roman" w:hAnsiTheme="majorHAnsi" w:cstheme="majorHAnsi"/>
                <w:color w:val="000000"/>
              </w:rPr>
              <w:t>Products that can be considered hazardous, dangerous</w:t>
            </w:r>
            <w:r w:rsidR="001C6054"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or high risk of causing bodily injury or damage to property. This could include</w:t>
            </w:r>
            <w:r w:rsidR="00B6077C" w:rsidRPr="0012707A">
              <w:rPr>
                <w:rFonts w:asciiTheme="majorHAnsi" w:eastAsia="Times New Roman" w:hAnsiTheme="majorHAnsi" w:cstheme="majorHAnsi"/>
                <w:color w:val="000000"/>
              </w:rPr>
              <w:t>, but is not limited to,</w:t>
            </w:r>
            <w:r w:rsidRPr="0012707A">
              <w:rPr>
                <w:rFonts w:asciiTheme="majorHAnsi" w:eastAsia="Times New Roman" w:hAnsiTheme="majorHAnsi" w:cstheme="majorHAnsi"/>
                <w:color w:val="000000"/>
              </w:rPr>
              <w:t xml:space="preserve"> pacemakers, surgical robots, explosive chemicals, biologicals, lasers, </w:t>
            </w:r>
            <w:r w:rsidRPr="0012707A">
              <w:rPr>
                <w:rFonts w:asciiTheme="majorHAnsi" w:eastAsia="Times New Roman" w:hAnsiTheme="majorHAnsi" w:cstheme="majorHAnsi"/>
                <w:color w:val="000000"/>
              </w:rPr>
              <w:lastRenderedPageBreak/>
              <w:t xml:space="preserve">etc. </w:t>
            </w:r>
            <w:r w:rsidR="009A4DC8" w:rsidRPr="0012707A">
              <w:rPr>
                <w:rFonts w:asciiTheme="majorHAnsi" w:eastAsia="Times New Roman" w:hAnsiTheme="majorHAnsi" w:cstheme="majorHAnsi"/>
                <w:color w:val="000000"/>
              </w:rPr>
              <w:t xml:space="preserve">Consult </w:t>
            </w:r>
            <w:r w:rsidR="001C6054" w:rsidRPr="0012707A">
              <w:rPr>
                <w:rFonts w:asciiTheme="majorHAnsi" w:eastAsia="Times New Roman" w:hAnsiTheme="majorHAnsi" w:cstheme="majorHAnsi"/>
                <w:color w:val="000000"/>
              </w:rPr>
              <w:t xml:space="preserve">Risk Management </w:t>
            </w:r>
            <w:r w:rsidRPr="0012707A">
              <w:rPr>
                <w:rFonts w:asciiTheme="majorHAnsi" w:eastAsia="Times New Roman" w:hAnsiTheme="majorHAnsi" w:cstheme="majorHAnsi"/>
                <w:color w:val="000000"/>
              </w:rPr>
              <w:t>to confirm if your purchase falls within this category.</w:t>
            </w:r>
          </w:p>
        </w:tc>
        <w:tc>
          <w:tcPr>
            <w:tcW w:w="3127"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74138060" w14:textId="7BF6DB12" w:rsidR="006147C2" w:rsidRPr="0012707A" w:rsidRDefault="006147C2" w:rsidP="00EC7DC6">
            <w:pPr>
              <w:spacing w:after="0" w:line="240" w:lineRule="auto"/>
              <w:rPr>
                <w:rFonts w:asciiTheme="majorHAnsi" w:eastAsia="Times New Roman" w:hAnsiTheme="majorHAnsi" w:cstheme="majorHAnsi"/>
                <w:color w:val="000000"/>
              </w:rPr>
            </w:pPr>
          </w:p>
        </w:tc>
        <w:tc>
          <w:tcPr>
            <w:tcW w:w="2905"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2B30C88E" w14:textId="483F4EB4" w:rsidR="006147C2" w:rsidRPr="0012707A" w:rsidRDefault="006147C2" w:rsidP="00EC7DC6">
            <w:pPr>
              <w:spacing w:after="0" w:line="240" w:lineRule="auto"/>
              <w:rPr>
                <w:rFonts w:asciiTheme="majorHAnsi" w:eastAsia="Times New Roman" w:hAnsiTheme="majorHAnsi" w:cstheme="majorHAnsi"/>
                <w:color w:val="000000"/>
              </w:rPr>
            </w:pPr>
          </w:p>
        </w:tc>
      </w:tr>
      <w:tr w:rsidR="006147C2" w:rsidRPr="0012707A" w14:paraId="15313103" w14:textId="77777777" w:rsidTr="006E1AD6">
        <w:tc>
          <w:tcPr>
            <w:tcW w:w="3312"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296D0E28" w14:textId="61813CA1"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b/>
                <w:bCs/>
                <w:color w:val="000000"/>
              </w:rPr>
              <w:t>NOTE</w:t>
            </w:r>
            <w:r w:rsidRPr="0012707A">
              <w:rPr>
                <w:rFonts w:asciiTheme="majorHAnsi" w:eastAsia="Times New Roman" w:hAnsiTheme="majorHAnsi" w:cstheme="majorHAnsi"/>
                <w:color w:val="000000"/>
              </w:rPr>
              <w:t>: Regardless of whether the company is a “brand name,” Column I requirements shall be followed for the categories shown in Column I.</w:t>
            </w:r>
          </w:p>
        </w:tc>
        <w:tc>
          <w:tcPr>
            <w:tcW w:w="3127"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57C4CD1A" w14:textId="3FBB3152" w:rsidR="006147C2" w:rsidRPr="0012707A" w:rsidRDefault="006147C2" w:rsidP="00EC7DC6">
            <w:pPr>
              <w:spacing w:after="0" w:line="240" w:lineRule="auto"/>
              <w:rPr>
                <w:rFonts w:asciiTheme="majorHAnsi" w:eastAsia="Times New Roman" w:hAnsiTheme="majorHAnsi" w:cstheme="majorHAnsi"/>
                <w:color w:val="000000"/>
              </w:rPr>
            </w:pPr>
          </w:p>
        </w:tc>
        <w:tc>
          <w:tcPr>
            <w:tcW w:w="2905"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33FD3D9B" w14:textId="0B600024" w:rsidR="006147C2" w:rsidRPr="0012707A" w:rsidRDefault="006147C2" w:rsidP="00EC7DC6">
            <w:pPr>
              <w:spacing w:after="0" w:line="240" w:lineRule="auto"/>
              <w:rPr>
                <w:rFonts w:asciiTheme="majorHAnsi" w:eastAsia="Times New Roman" w:hAnsiTheme="majorHAnsi" w:cstheme="majorHAnsi"/>
                <w:color w:val="000000"/>
              </w:rPr>
            </w:pPr>
          </w:p>
        </w:tc>
      </w:tr>
      <w:tr w:rsidR="006147C2" w:rsidRPr="0012707A" w14:paraId="53193AF1" w14:textId="77777777" w:rsidTr="006E1AD6">
        <w:tc>
          <w:tcPr>
            <w:tcW w:w="3312"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1B32016E" w14:textId="499511A3"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USE ARTICLE 6:</w:t>
            </w:r>
            <w:r w:rsidR="00600023" w:rsidRPr="0012707A">
              <w:rPr>
                <w:rFonts w:asciiTheme="majorHAnsi" w:eastAsia="Times New Roman" w:hAnsiTheme="majorHAnsi" w:cstheme="majorHAnsi"/>
                <w:color w:val="000000"/>
              </w:rPr>
              <w:t xml:space="preserve"> </w:t>
            </w:r>
            <w:hyperlink r:id="rId7" w:tgtFrame="_blank" w:tooltip="PDF file, opens new window" w:history="1">
              <w:r w:rsidRPr="0012707A">
                <w:rPr>
                  <w:rFonts w:asciiTheme="majorHAnsi" w:eastAsia="Times New Roman" w:hAnsiTheme="majorHAnsi" w:cstheme="majorHAnsi"/>
                  <w:color w:val="003366"/>
                  <w:u w:val="single"/>
                </w:rPr>
                <w:t>TIER 1 HIGH RISK insurance requirements</w:t>
              </w:r>
            </w:hyperlink>
          </w:p>
        </w:tc>
        <w:tc>
          <w:tcPr>
            <w:tcW w:w="3127"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686D9B6C" w14:textId="70DDF7A6"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USE ARTICLE 6:</w:t>
            </w:r>
            <w:r w:rsidR="00600023" w:rsidRPr="0012707A">
              <w:rPr>
                <w:rFonts w:asciiTheme="majorHAnsi" w:eastAsia="Times New Roman" w:hAnsiTheme="majorHAnsi" w:cstheme="majorHAnsi"/>
                <w:color w:val="000000"/>
              </w:rPr>
              <w:t xml:space="preserve"> </w:t>
            </w:r>
            <w:hyperlink r:id="rId8" w:tgtFrame="_blank" w:tooltip="PDF file, opens new window" w:history="1">
              <w:r w:rsidRPr="0012707A">
                <w:rPr>
                  <w:rFonts w:asciiTheme="majorHAnsi" w:eastAsia="Times New Roman" w:hAnsiTheme="majorHAnsi" w:cstheme="majorHAnsi"/>
                  <w:color w:val="003366"/>
                  <w:u w:val="single"/>
                </w:rPr>
                <w:t>TIER 2 MEDIUM RISK insurance requirements</w:t>
              </w:r>
            </w:hyperlink>
          </w:p>
        </w:tc>
        <w:tc>
          <w:tcPr>
            <w:tcW w:w="2905" w:type="dxa"/>
            <w:tcBorders>
              <w:top w:val="single" w:sz="6" w:space="0" w:color="999999"/>
              <w:left w:val="single" w:sz="6" w:space="0" w:color="999999"/>
              <w:bottom w:val="single" w:sz="6" w:space="0" w:color="999999"/>
              <w:right w:val="single" w:sz="6" w:space="0" w:color="999999"/>
            </w:tcBorders>
            <w:shd w:val="clear" w:color="auto" w:fill="FFFFFF"/>
            <w:tcMar>
              <w:top w:w="45" w:type="dxa"/>
              <w:left w:w="105" w:type="dxa"/>
              <w:bottom w:w="45" w:type="dxa"/>
              <w:right w:w="105" w:type="dxa"/>
            </w:tcMar>
            <w:hideMark/>
          </w:tcPr>
          <w:p w14:paraId="4FF05C7E" w14:textId="5C26AE98" w:rsidR="006147C2" w:rsidRPr="0012707A" w:rsidRDefault="006147C2" w:rsidP="00EC7DC6">
            <w:pPr>
              <w:spacing w:after="0" w:line="240" w:lineRule="auto"/>
              <w:rPr>
                <w:rFonts w:asciiTheme="majorHAnsi" w:eastAsia="Times New Roman" w:hAnsiTheme="majorHAnsi" w:cstheme="majorHAnsi"/>
                <w:color w:val="000000"/>
              </w:rPr>
            </w:pPr>
            <w:r w:rsidRPr="0012707A">
              <w:rPr>
                <w:rFonts w:asciiTheme="majorHAnsi" w:eastAsia="Times New Roman" w:hAnsiTheme="majorHAnsi" w:cstheme="majorHAnsi"/>
                <w:color w:val="000000"/>
              </w:rPr>
              <w:t>USE ARTICLE 6:</w:t>
            </w:r>
            <w:r w:rsidR="00600023" w:rsidRPr="0012707A">
              <w:rPr>
                <w:rFonts w:asciiTheme="majorHAnsi" w:eastAsia="Times New Roman" w:hAnsiTheme="majorHAnsi" w:cstheme="majorHAnsi"/>
                <w:color w:val="000000"/>
              </w:rPr>
              <w:t xml:space="preserve"> </w:t>
            </w:r>
            <w:hyperlink r:id="rId9" w:tgtFrame="_blank" w:tooltip="PDF file, opens new window" w:history="1">
              <w:r w:rsidRPr="0012707A">
                <w:rPr>
                  <w:rFonts w:asciiTheme="majorHAnsi" w:eastAsia="Times New Roman" w:hAnsiTheme="majorHAnsi" w:cstheme="majorHAnsi"/>
                  <w:color w:val="003366"/>
                  <w:u w:val="single"/>
                </w:rPr>
                <w:t>TIER 3 LOW RISK insurance requirements</w:t>
              </w:r>
            </w:hyperlink>
          </w:p>
        </w:tc>
      </w:tr>
    </w:tbl>
    <w:p w14:paraId="0DE0AD64" w14:textId="4749A2C8" w:rsidR="00CE57E5" w:rsidRPr="0012707A" w:rsidRDefault="006147C2" w:rsidP="006E1AD6">
      <w:pPr>
        <w:shd w:val="clear" w:color="auto" w:fill="FFFFFF"/>
        <w:spacing w:before="240" w:after="0" w:line="240" w:lineRule="auto"/>
        <w:jc w:val="both"/>
        <w:rPr>
          <w:rFonts w:asciiTheme="majorHAnsi" w:eastAsia="Times New Roman" w:hAnsiTheme="majorHAnsi" w:cstheme="majorHAnsi"/>
          <w:color w:val="000000"/>
        </w:rPr>
      </w:pPr>
      <w:r w:rsidRPr="0012707A">
        <w:rPr>
          <w:rFonts w:asciiTheme="majorHAnsi" w:eastAsia="Times New Roman" w:hAnsiTheme="majorHAnsi" w:cstheme="majorHAnsi"/>
          <w:color w:val="000000"/>
        </w:rPr>
        <w:t xml:space="preserve">* A "caterer" is a non-System entity (outside vendor) that serves food, beverages, and/or liquor at an event primarily attended by or open to the </w:t>
      </w:r>
      <w:proofErr w:type="gramStart"/>
      <w:r w:rsidRPr="0012707A">
        <w:rPr>
          <w:rFonts w:asciiTheme="majorHAnsi" w:eastAsia="Times New Roman" w:hAnsiTheme="majorHAnsi" w:cstheme="majorHAnsi"/>
          <w:color w:val="000000"/>
        </w:rPr>
        <w:t>general public</w:t>
      </w:r>
      <w:proofErr w:type="gramEnd"/>
      <w:r w:rsidRPr="0012707A">
        <w:rPr>
          <w:rFonts w:asciiTheme="majorHAnsi" w:eastAsia="Times New Roman" w:hAnsiTheme="majorHAnsi" w:cstheme="majorHAnsi"/>
          <w:color w:val="000000"/>
        </w:rPr>
        <w:t xml:space="preserve">. </w:t>
      </w:r>
      <w:proofErr w:type="gramStart"/>
      <w:r w:rsidRPr="0012707A">
        <w:rPr>
          <w:rFonts w:asciiTheme="majorHAnsi" w:eastAsia="Times New Roman" w:hAnsiTheme="majorHAnsi" w:cstheme="majorHAnsi"/>
          <w:color w:val="000000"/>
        </w:rPr>
        <w:t>Typically</w:t>
      </w:r>
      <w:proofErr w:type="gramEnd"/>
      <w:r w:rsidRPr="0012707A">
        <w:rPr>
          <w:rFonts w:asciiTheme="majorHAnsi" w:eastAsia="Times New Roman" w:hAnsiTheme="majorHAnsi" w:cstheme="majorHAnsi"/>
          <w:color w:val="000000"/>
        </w:rPr>
        <w:t xml:space="preserve"> the vendor would provide set-up (including the use of caterer-provided equipment, food service/onsite preparation</w:t>
      </w:r>
      <w:r w:rsidR="001C6054"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xml:space="preserve"> and clean-up</w:t>
      </w:r>
      <w:r w:rsidR="00B6077C"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An example of a “non-caterer</w:t>
      </w:r>
      <w:r w:rsidR="001C6054" w:rsidRPr="0012707A">
        <w:rPr>
          <w:rFonts w:asciiTheme="majorHAnsi" w:eastAsia="Times New Roman" w:hAnsiTheme="majorHAnsi" w:cstheme="majorHAnsi"/>
          <w:color w:val="000000"/>
        </w:rPr>
        <w:t>,</w:t>
      </w:r>
      <w:r w:rsidRPr="0012707A">
        <w:rPr>
          <w:rFonts w:asciiTheme="majorHAnsi" w:eastAsia="Times New Roman" w:hAnsiTheme="majorHAnsi" w:cstheme="majorHAnsi"/>
          <w:color w:val="000000"/>
        </w:rPr>
        <w:t>” and not subject to this requirement, would be a vendor that did food and/or beverage drop-off, such as a food delivery person.</w:t>
      </w:r>
    </w:p>
    <w:p w14:paraId="09F72258" w14:textId="571DFE57" w:rsidR="006147C2" w:rsidRPr="0012707A" w:rsidRDefault="006147C2" w:rsidP="006E1AD6">
      <w:pPr>
        <w:shd w:val="clear" w:color="auto" w:fill="FFFFFF"/>
        <w:spacing w:before="240" w:after="0" w:line="240" w:lineRule="auto"/>
        <w:jc w:val="both"/>
        <w:rPr>
          <w:rFonts w:asciiTheme="majorHAnsi" w:eastAsia="Times New Roman" w:hAnsiTheme="majorHAnsi" w:cstheme="majorHAnsi"/>
          <w:color w:val="000000"/>
        </w:rPr>
      </w:pPr>
      <w:r w:rsidRPr="0012707A">
        <w:rPr>
          <w:rFonts w:asciiTheme="majorHAnsi" w:eastAsia="Times New Roman" w:hAnsiTheme="majorHAnsi" w:cstheme="majorHAnsi"/>
          <w:color w:val="000000"/>
        </w:rPr>
        <w:t>**</w:t>
      </w:r>
      <w:r w:rsidR="0083774C">
        <w:rPr>
          <w:rFonts w:asciiTheme="majorHAnsi" w:eastAsia="Times New Roman" w:hAnsiTheme="majorHAnsi" w:cstheme="majorHAnsi"/>
          <w:color w:val="000000"/>
        </w:rPr>
        <w:t xml:space="preserve"> </w:t>
      </w:r>
      <w:r w:rsidRPr="0012707A">
        <w:rPr>
          <w:rFonts w:asciiTheme="majorHAnsi" w:eastAsia="Times New Roman" w:hAnsiTheme="majorHAnsi" w:cstheme="majorHAnsi"/>
          <w:color w:val="000000"/>
        </w:rPr>
        <w:t>A “concessionaire” is an entity that provides large scale food preparation and delivery, such as Sodexo or Aramark.</w:t>
      </w:r>
    </w:p>
    <w:p w14:paraId="68ED47EF" w14:textId="50056ABB" w:rsidR="006147C2" w:rsidRPr="0012707A" w:rsidRDefault="006147C2" w:rsidP="006E1AD6">
      <w:pPr>
        <w:shd w:val="clear" w:color="auto" w:fill="FFFFFF"/>
        <w:spacing w:before="240" w:after="0" w:line="240" w:lineRule="auto"/>
        <w:jc w:val="both"/>
        <w:rPr>
          <w:rFonts w:asciiTheme="majorHAnsi" w:eastAsia="Times New Roman" w:hAnsiTheme="majorHAnsi" w:cstheme="majorHAnsi"/>
          <w:b/>
          <w:bCs/>
          <w:color w:val="000000"/>
        </w:rPr>
      </w:pPr>
      <w:r w:rsidRPr="0012707A">
        <w:rPr>
          <w:rFonts w:asciiTheme="majorHAnsi" w:eastAsia="Times New Roman" w:hAnsiTheme="majorHAnsi" w:cstheme="majorHAnsi"/>
          <w:b/>
          <w:bCs/>
          <w:color w:val="000000"/>
        </w:rPr>
        <w:t>If you have any questions, consult University Risk Management.</w:t>
      </w:r>
    </w:p>
    <w:p w14:paraId="71ED7DFA" w14:textId="77777777" w:rsidR="006147C2" w:rsidRPr="0012707A" w:rsidRDefault="006147C2" w:rsidP="006E1AD6">
      <w:pPr>
        <w:shd w:val="clear" w:color="auto" w:fill="FFFFFF"/>
        <w:spacing w:before="240" w:after="0" w:line="240" w:lineRule="auto"/>
        <w:jc w:val="both"/>
        <w:outlineLvl w:val="1"/>
        <w:rPr>
          <w:rFonts w:asciiTheme="majorHAnsi" w:eastAsia="Times New Roman" w:hAnsiTheme="majorHAnsi" w:cstheme="majorHAnsi"/>
          <w:b/>
          <w:bCs/>
          <w:color w:val="13294B"/>
        </w:rPr>
      </w:pPr>
      <w:r w:rsidRPr="0012707A">
        <w:rPr>
          <w:rFonts w:asciiTheme="majorHAnsi" w:eastAsia="Times New Roman" w:hAnsiTheme="majorHAnsi" w:cstheme="majorHAnsi"/>
          <w:b/>
          <w:bCs/>
          <w:color w:val="13294B"/>
        </w:rPr>
        <w:t>Exceptions to Minimum Insurance Requirements</w:t>
      </w:r>
    </w:p>
    <w:p w14:paraId="3F06DE13" w14:textId="77777777" w:rsidR="006147C2" w:rsidRPr="0012707A" w:rsidRDefault="006147C2" w:rsidP="00EC7DC6">
      <w:pPr>
        <w:shd w:val="clear" w:color="auto" w:fill="FFFFFF"/>
        <w:spacing w:after="0" w:line="240" w:lineRule="auto"/>
        <w:jc w:val="both"/>
        <w:rPr>
          <w:rFonts w:asciiTheme="majorHAnsi" w:eastAsia="Times New Roman" w:hAnsiTheme="majorHAnsi" w:cstheme="majorHAnsi"/>
          <w:color w:val="000000"/>
        </w:rPr>
      </w:pPr>
      <w:r w:rsidRPr="0012707A">
        <w:rPr>
          <w:rFonts w:asciiTheme="majorHAnsi" w:eastAsia="Times New Roman" w:hAnsiTheme="majorHAnsi" w:cstheme="majorHAnsi"/>
          <w:color w:val="000000"/>
        </w:rPr>
        <w:t xml:space="preserve">The Office of Risk Management may develop exceptions to these insurance limit requirements, in conjunction with system and university administrators, following a process of risk identification and evaluation. If they determine that little or no risk is involved, the limits may be </w:t>
      </w:r>
      <w:proofErr w:type="gramStart"/>
      <w:r w:rsidRPr="0012707A">
        <w:rPr>
          <w:rFonts w:asciiTheme="majorHAnsi" w:eastAsia="Times New Roman" w:hAnsiTheme="majorHAnsi" w:cstheme="majorHAnsi"/>
          <w:color w:val="000000"/>
        </w:rPr>
        <w:t>lowered</w:t>
      </w:r>
      <w:proofErr w:type="gramEnd"/>
      <w:r w:rsidRPr="0012707A">
        <w:rPr>
          <w:rFonts w:asciiTheme="majorHAnsi" w:eastAsia="Times New Roman" w:hAnsiTheme="majorHAnsi" w:cstheme="majorHAnsi"/>
          <w:color w:val="000000"/>
        </w:rPr>
        <w:t xml:space="preserve"> or the requirement removed. Conversely, if it is determined that additional risk is involved, the limits may be raised.</w:t>
      </w:r>
    </w:p>
    <w:p w14:paraId="63D73F16" w14:textId="728A2D46" w:rsidR="00B6077C" w:rsidRPr="0012707A" w:rsidRDefault="00B6077C" w:rsidP="006E1AD6">
      <w:pPr>
        <w:spacing w:before="240" w:after="0" w:line="240" w:lineRule="auto"/>
        <w:jc w:val="both"/>
        <w:rPr>
          <w:rFonts w:asciiTheme="majorHAnsi" w:hAnsiTheme="majorHAnsi" w:cstheme="majorHAnsi"/>
        </w:rPr>
      </w:pPr>
      <w:r w:rsidRPr="0012707A">
        <w:rPr>
          <w:rFonts w:asciiTheme="majorHAnsi" w:hAnsiTheme="majorHAnsi" w:cstheme="majorHAnsi"/>
        </w:rPr>
        <w:t>First Published: November 2010 | Last Updated: August 2023 | Last Reviewed: August 2023</w:t>
      </w:r>
    </w:p>
    <w:sectPr w:rsidR="00B6077C" w:rsidRPr="00127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7F1"/>
    <w:multiLevelType w:val="multilevel"/>
    <w:tmpl w:val="2F80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E2A57"/>
    <w:multiLevelType w:val="multilevel"/>
    <w:tmpl w:val="0F1A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73DA8"/>
    <w:multiLevelType w:val="multilevel"/>
    <w:tmpl w:val="2F52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17A7E"/>
    <w:multiLevelType w:val="multilevel"/>
    <w:tmpl w:val="0368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42832"/>
    <w:multiLevelType w:val="multilevel"/>
    <w:tmpl w:val="606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94D72"/>
    <w:multiLevelType w:val="multilevel"/>
    <w:tmpl w:val="8C2C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93EED"/>
    <w:multiLevelType w:val="multilevel"/>
    <w:tmpl w:val="7C3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C7287"/>
    <w:multiLevelType w:val="multilevel"/>
    <w:tmpl w:val="CD0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7D18CF"/>
    <w:multiLevelType w:val="multilevel"/>
    <w:tmpl w:val="E02E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3D3493"/>
    <w:multiLevelType w:val="multilevel"/>
    <w:tmpl w:val="7240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11A39"/>
    <w:multiLevelType w:val="multilevel"/>
    <w:tmpl w:val="5D72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640849">
    <w:abstractNumId w:val="8"/>
  </w:num>
  <w:num w:numId="2" w16cid:durableId="1033075643">
    <w:abstractNumId w:val="9"/>
  </w:num>
  <w:num w:numId="3" w16cid:durableId="916788098">
    <w:abstractNumId w:val="10"/>
  </w:num>
  <w:num w:numId="4" w16cid:durableId="1795365522">
    <w:abstractNumId w:val="2"/>
  </w:num>
  <w:num w:numId="5" w16cid:durableId="1579753385">
    <w:abstractNumId w:val="5"/>
  </w:num>
  <w:num w:numId="6" w16cid:durableId="268780458">
    <w:abstractNumId w:val="4"/>
  </w:num>
  <w:num w:numId="7" w16cid:durableId="2132507009">
    <w:abstractNumId w:val="3"/>
  </w:num>
  <w:num w:numId="8" w16cid:durableId="216357668">
    <w:abstractNumId w:val="7"/>
  </w:num>
  <w:num w:numId="9" w16cid:durableId="2093504261">
    <w:abstractNumId w:val="1"/>
  </w:num>
  <w:num w:numId="10" w16cid:durableId="2014643673">
    <w:abstractNumId w:val="6"/>
  </w:num>
  <w:num w:numId="11" w16cid:durableId="17985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C2"/>
    <w:rsid w:val="00046250"/>
    <w:rsid w:val="00051616"/>
    <w:rsid w:val="00055436"/>
    <w:rsid w:val="00092363"/>
    <w:rsid w:val="0012707A"/>
    <w:rsid w:val="00172180"/>
    <w:rsid w:val="001C48B6"/>
    <w:rsid w:val="001C6054"/>
    <w:rsid w:val="001F209E"/>
    <w:rsid w:val="0028515E"/>
    <w:rsid w:val="00306E5E"/>
    <w:rsid w:val="004118CE"/>
    <w:rsid w:val="00474122"/>
    <w:rsid w:val="004821D0"/>
    <w:rsid w:val="005A2354"/>
    <w:rsid w:val="005F59EE"/>
    <w:rsid w:val="00600023"/>
    <w:rsid w:val="006147C2"/>
    <w:rsid w:val="00640F9E"/>
    <w:rsid w:val="006E1AD6"/>
    <w:rsid w:val="007E6B80"/>
    <w:rsid w:val="0083774C"/>
    <w:rsid w:val="008C511F"/>
    <w:rsid w:val="00915D04"/>
    <w:rsid w:val="009A4DC8"/>
    <w:rsid w:val="00B6077C"/>
    <w:rsid w:val="00B95F31"/>
    <w:rsid w:val="00BA3292"/>
    <w:rsid w:val="00C00978"/>
    <w:rsid w:val="00C7370F"/>
    <w:rsid w:val="00CE57E5"/>
    <w:rsid w:val="00D013D1"/>
    <w:rsid w:val="00D65B71"/>
    <w:rsid w:val="00D93368"/>
    <w:rsid w:val="00E77834"/>
    <w:rsid w:val="00EC7DC6"/>
    <w:rsid w:val="00F5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F97C"/>
  <w15:chartTrackingRefBased/>
  <w15:docId w15:val="{2EF7370F-CE54-47D9-B3CB-21467683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47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7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7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47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7C2"/>
    <w:rPr>
      <w:b/>
      <w:bCs/>
    </w:rPr>
  </w:style>
  <w:style w:type="character" w:styleId="Hyperlink">
    <w:name w:val="Hyperlink"/>
    <w:basedOn w:val="DefaultParagraphFont"/>
    <w:uiPriority w:val="99"/>
    <w:unhideWhenUsed/>
    <w:rsid w:val="006147C2"/>
    <w:rPr>
      <w:color w:val="0000FF"/>
      <w:u w:val="single"/>
    </w:rPr>
  </w:style>
  <w:style w:type="character" w:styleId="UnresolvedMention">
    <w:name w:val="Unresolved Mention"/>
    <w:basedOn w:val="DefaultParagraphFont"/>
    <w:uiPriority w:val="99"/>
    <w:semiHidden/>
    <w:unhideWhenUsed/>
    <w:rsid w:val="00B95F31"/>
    <w:rPr>
      <w:color w:val="605E5C"/>
      <w:shd w:val="clear" w:color="auto" w:fill="E1DFDD"/>
    </w:rPr>
  </w:style>
  <w:style w:type="character" w:styleId="CommentReference">
    <w:name w:val="annotation reference"/>
    <w:basedOn w:val="DefaultParagraphFont"/>
    <w:uiPriority w:val="99"/>
    <w:semiHidden/>
    <w:unhideWhenUsed/>
    <w:rsid w:val="00B95F31"/>
    <w:rPr>
      <w:sz w:val="16"/>
      <w:szCs w:val="16"/>
    </w:rPr>
  </w:style>
  <w:style w:type="paragraph" w:styleId="CommentText">
    <w:name w:val="annotation text"/>
    <w:basedOn w:val="Normal"/>
    <w:link w:val="CommentTextChar"/>
    <w:uiPriority w:val="99"/>
    <w:unhideWhenUsed/>
    <w:rsid w:val="00B95F31"/>
    <w:pPr>
      <w:spacing w:line="240" w:lineRule="auto"/>
    </w:pPr>
    <w:rPr>
      <w:sz w:val="20"/>
      <w:szCs w:val="20"/>
    </w:rPr>
  </w:style>
  <w:style w:type="character" w:customStyle="1" w:styleId="CommentTextChar">
    <w:name w:val="Comment Text Char"/>
    <w:basedOn w:val="DefaultParagraphFont"/>
    <w:link w:val="CommentText"/>
    <w:uiPriority w:val="99"/>
    <w:rsid w:val="00B95F31"/>
    <w:rPr>
      <w:sz w:val="20"/>
      <w:szCs w:val="20"/>
    </w:rPr>
  </w:style>
  <w:style w:type="paragraph" w:styleId="CommentSubject">
    <w:name w:val="annotation subject"/>
    <w:basedOn w:val="CommentText"/>
    <w:next w:val="CommentText"/>
    <w:link w:val="CommentSubjectChar"/>
    <w:uiPriority w:val="99"/>
    <w:semiHidden/>
    <w:unhideWhenUsed/>
    <w:rsid w:val="00B95F31"/>
    <w:rPr>
      <w:b/>
      <w:bCs/>
    </w:rPr>
  </w:style>
  <w:style w:type="character" w:customStyle="1" w:styleId="CommentSubjectChar">
    <w:name w:val="Comment Subject Char"/>
    <w:basedOn w:val="CommentTextChar"/>
    <w:link w:val="CommentSubject"/>
    <w:uiPriority w:val="99"/>
    <w:semiHidden/>
    <w:rsid w:val="00B95F31"/>
    <w:rPr>
      <w:b/>
      <w:bCs/>
      <w:sz w:val="20"/>
      <w:szCs w:val="20"/>
    </w:rPr>
  </w:style>
  <w:style w:type="paragraph" w:styleId="Revision">
    <w:name w:val="Revision"/>
    <w:hidden/>
    <w:uiPriority w:val="99"/>
    <w:semiHidden/>
    <w:rsid w:val="00B95F31"/>
    <w:pPr>
      <w:spacing w:after="0" w:line="240" w:lineRule="auto"/>
    </w:pPr>
  </w:style>
  <w:style w:type="paragraph" w:customStyle="1" w:styleId="pf0">
    <w:name w:val="pf0"/>
    <w:basedOn w:val="Normal"/>
    <w:rsid w:val="005F5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F59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3536">
      <w:bodyDiv w:val="1"/>
      <w:marLeft w:val="0"/>
      <w:marRight w:val="0"/>
      <w:marTop w:val="0"/>
      <w:marBottom w:val="0"/>
      <w:divBdr>
        <w:top w:val="none" w:sz="0" w:space="0" w:color="auto"/>
        <w:left w:val="none" w:sz="0" w:space="0" w:color="auto"/>
        <w:bottom w:val="none" w:sz="0" w:space="0" w:color="auto"/>
        <w:right w:val="none" w:sz="0" w:space="0" w:color="auto"/>
      </w:divBdr>
    </w:div>
    <w:div w:id="868563746">
      <w:bodyDiv w:val="1"/>
      <w:marLeft w:val="0"/>
      <w:marRight w:val="0"/>
      <w:marTop w:val="0"/>
      <w:marBottom w:val="0"/>
      <w:divBdr>
        <w:top w:val="none" w:sz="0" w:space="0" w:color="auto"/>
        <w:left w:val="none" w:sz="0" w:space="0" w:color="auto"/>
        <w:bottom w:val="none" w:sz="0" w:space="0" w:color="auto"/>
        <w:right w:val="none" w:sz="0" w:space="0" w:color="auto"/>
      </w:divBdr>
    </w:div>
    <w:div w:id="13127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fs.uillinois.edu/common/pages/DisplayFile.aspx?itemId=785689" TargetMode="External"/><Relationship Id="rId3" Type="http://schemas.openxmlformats.org/officeDocument/2006/relationships/styles" Target="styles.xml"/><Relationship Id="rId7" Type="http://schemas.openxmlformats.org/officeDocument/2006/relationships/hyperlink" Target="https://www.obfs.uillinois.edu/common/pages/DisplayFile.aspx?itemId=7856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tune.com/fortune5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bfs.uillinois.edu/common/pages/DisplayFile.aspx?itemId=785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F186-2B3C-488A-A1C6-86232D3A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 Aaron Jerrold</dc:creator>
  <cp:keywords/>
  <dc:description/>
  <cp:lastModifiedBy>Gomoll, Alana</cp:lastModifiedBy>
  <cp:revision>4</cp:revision>
  <cp:lastPrinted>2023-02-24T15:15:00Z</cp:lastPrinted>
  <dcterms:created xsi:type="dcterms:W3CDTF">2023-08-04T20:23:00Z</dcterms:created>
  <dcterms:modified xsi:type="dcterms:W3CDTF">2023-08-14T15:47:00Z</dcterms:modified>
</cp:coreProperties>
</file>